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</w:pPr>
      <w:bookmarkStart w:id="0" w:name="_GoBack"/>
      <w:bookmarkEnd w:id="0"/>
      <w:r>
        <w:t>АННОТАЦИЯ</w:t>
      </w:r>
    </w:p>
    <w:p>
      <w:pPr>
        <w:contextualSpacing/>
        <w:jc w:val="center"/>
      </w:pPr>
      <w:r>
        <w:t>дисциплины</w:t>
      </w:r>
    </w:p>
    <w:p>
      <w:pPr>
        <w:contextualSpacing/>
        <w:jc w:val="center"/>
      </w:pPr>
      <w:r>
        <w:t>Б1.В.6 «КОМПЬЮТЕРИЗАЦИЯ ЭКОНОМИЧЕСКИХ РАСЧЕТОВ»</w:t>
      </w:r>
    </w:p>
    <w:p>
      <w:pPr>
        <w:contextualSpacing/>
        <w:jc w:val="center"/>
      </w:pPr>
    </w:p>
    <w:p>
      <w:pPr>
        <w:contextualSpacing/>
        <w:jc w:val="both"/>
      </w:pPr>
      <w:r>
        <w:t>Направление подготовки–38.03.01 «Экономика».</w:t>
      </w:r>
    </w:p>
    <w:p>
      <w:pPr>
        <w:contextualSpacing/>
        <w:jc w:val="both"/>
      </w:pPr>
      <w:r>
        <w:t>Квалификация (степень) выпускника – бакалавр.</w:t>
      </w:r>
    </w:p>
    <w:p>
      <w:pPr>
        <w:jc w:val="both"/>
      </w:pPr>
      <w:r>
        <w:t>Профиль: «Экономика и управление транспортно-логистическим бизнесом.</w:t>
      </w:r>
    </w:p>
    <w:p>
      <w:pPr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contextualSpacing/>
        <w:jc w:val="both"/>
        <w:rPr>
          <w:i/>
        </w:rPr>
      </w:pPr>
      <w:r>
        <w:t xml:space="preserve">Дисциплина относится кчасти, формируемой участниками образовательных отношений блока 1 «Дисциплины (модули)». </w:t>
      </w:r>
    </w:p>
    <w:p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Цель изучения дисциплины - приобретение студентами знаний, умений и практических навыков в области осуществления экономических расчетов с использованием информационных технологий, обеспечивающих достижение определенного уровня их компетентности на основе применения методик выполнения компьютеризированных расчетов, анализа результатов вычислений и обработки данных с последующей разработкой рекомендаций принятия конкретных управленческих решений. Подготовка ведется в соответствии с требованиями, установленными федеральным образовательным стандартом для формирования у выпускника компетенций, способствующих решению профессиональных задач.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Для достижения цели дисциплины решаются следующие задачи:</w:t>
      </w:r>
    </w:p>
    <w:p>
      <w:pPr>
        <w:numPr>
          <w:ilvl w:val="0"/>
          <w:numId w:val="2"/>
        </w:numPr>
        <w:ind w:left="851"/>
        <w:jc w:val="both"/>
      </w:pPr>
      <w:r>
        <w:t>овладение методами поиска, критического анализа и синтеза информации; методикой системного подхода для решения поставленных задач, предполагающих работы с различными офисными приложениями (MS Excel, Access, PowerPoint)при осуществлении экономической расчетно-аналитической деятельности;</w:t>
      </w:r>
    </w:p>
    <w:p>
      <w:pPr>
        <w:numPr>
          <w:ilvl w:val="0"/>
          <w:numId w:val="2"/>
        </w:numPr>
        <w:ind w:left="851"/>
        <w:jc w:val="both"/>
      </w:pPr>
      <w:r>
        <w:t>формирование знаний о методах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техники, для последующей интерпретации полученных результатов, анализа и выработку рекомендаций по принятию решений;</w:t>
      </w:r>
    </w:p>
    <w:p>
      <w:pPr>
        <w:numPr>
          <w:ilvl w:val="0"/>
          <w:numId w:val="2"/>
        </w:numPr>
        <w:ind w:left="851"/>
        <w:jc w:val="both"/>
      </w:pPr>
      <w:r>
        <w:t>формирование умений применять информационные технологии для обработки экономических данных с последующим синтезом результатов экономических расчетов, формированием рекомендаций, выработкой управленческих решений;</w:t>
      </w:r>
    </w:p>
    <w:p>
      <w:pPr>
        <w:numPr>
          <w:ilvl w:val="0"/>
          <w:numId w:val="2"/>
        </w:numPr>
        <w:ind w:left="851"/>
        <w:jc w:val="both"/>
      </w:pPr>
      <w:r>
        <w:t>формирование умений использовать для решения аналитических и исследовательских задач современные технические средства и информационные технологии, способствующие оцифровыванию процесса решения профессиональных задач, углублению уровня его компьютеризации;</w:t>
      </w:r>
    </w:p>
    <w:p>
      <w:pPr>
        <w:numPr>
          <w:ilvl w:val="0"/>
          <w:numId w:val="2"/>
        </w:numPr>
        <w:ind w:left="851"/>
        <w:jc w:val="both"/>
      </w:pPr>
      <w:r>
        <w:t>формирование и закрепление навыков проведения расчетов экономических и финансово-экономических показателей на основе типовых методик с учетом нормативных правовых актов, способствующих формированию аналитических выводов, результатов интерпретации показателей с последующим принятием эффективных решений.</w:t>
      </w:r>
    </w:p>
    <w:p>
      <w:pPr>
        <w:ind w:left="709"/>
        <w:jc w:val="both"/>
      </w:pPr>
    </w:p>
    <w:p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jc w:val="center"/>
            </w:pPr>
            <w:r>
              <w:t>Компетенция</w:t>
            </w:r>
          </w:p>
        </w:tc>
        <w:tc>
          <w:tcPr>
            <w:tcW w:w="6585" w:type="dxa"/>
          </w:tcPr>
          <w:p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59" w:type="dxa"/>
          </w:tcPr>
          <w:p>
            <w:pPr>
              <w:jc w:val="both"/>
              <w:rPr>
                <w:highlight w:val="yellow"/>
              </w:rPr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585" w:type="dxa"/>
          </w:tcPr>
          <w:p>
            <w:pPr>
              <w:rPr>
                <w:iCs/>
              </w:rPr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Merge w:val="restart"/>
          </w:tcPr>
          <w:p>
            <w:pPr>
              <w:jc w:val="both"/>
              <w:rPr>
                <w:highlight w:val="yellow"/>
              </w:rPr>
            </w:pPr>
            <w:r>
              <w:t>ПК-1 Анализ, обоснование и выбор решения</w:t>
            </w:r>
          </w:p>
        </w:tc>
        <w:tc>
          <w:tcPr>
            <w:tcW w:w="6585" w:type="dxa"/>
          </w:tcPr>
          <w:p>
            <w:pPr>
              <w:rPr>
                <w:iCs/>
              </w:rPr>
            </w:pPr>
            <w: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Merge w:val="continue"/>
          </w:tcPr>
          <w:p>
            <w:pPr>
              <w:jc w:val="both"/>
            </w:pPr>
          </w:p>
        </w:tc>
        <w:tc>
          <w:tcPr>
            <w:tcW w:w="6585" w:type="dxa"/>
          </w:tcPr>
          <w:p>
            <w:r>
              <w:t>ПК-1.2.5 Умеет применять информационные технологии для обработки экономических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Merge w:val="restart"/>
          </w:tcPr>
          <w:p>
            <w:pPr>
              <w:jc w:val="both"/>
            </w:pPr>
            <w:r>
              <w:t>ПК-2 Расчет и анализ экономических показателей результатов</w:t>
            </w:r>
          </w:p>
          <w:p>
            <w:pPr>
              <w:jc w:val="both"/>
            </w:pPr>
            <w:r>
              <w:t>деятельности организации</w:t>
            </w:r>
          </w:p>
        </w:tc>
        <w:tc>
          <w:tcPr>
            <w:tcW w:w="6585" w:type="dxa"/>
          </w:tcPr>
          <w:p>
            <w: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Merge w:val="continue"/>
          </w:tcPr>
          <w:p>
            <w:pPr>
              <w:jc w:val="both"/>
            </w:pPr>
          </w:p>
        </w:tc>
        <w:tc>
          <w:tcPr>
            <w:tcW w:w="6585" w:type="dxa"/>
          </w:tcPr>
          <w:p>
            <w: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</w:tbl>
    <w:p>
      <w:pPr>
        <w:jc w:val="both"/>
      </w:pPr>
    </w:p>
    <w:p>
      <w:pPr>
        <w:contextualSpacing/>
        <w:jc w:val="both"/>
        <w:rPr>
          <w:b/>
        </w:rPr>
      </w:pPr>
      <w:r>
        <w:rPr>
          <w:b/>
        </w:rPr>
        <w:t>Содержание и структура дисциплины</w:t>
      </w:r>
    </w:p>
    <w:p>
      <w:pPr>
        <w:widowControl w:val="0"/>
      </w:pPr>
      <w:r>
        <w:t>Использование офисных приложений как средств поиска, анализа и синтеза информации, компьютеризации расчетов, выполнения финансовых вычислений.</w:t>
      </w:r>
    </w:p>
    <w:p>
      <w:pPr>
        <w:widowControl w:val="0"/>
      </w:pPr>
      <w:r>
        <w:t>Технологии цифровой трансформации и их применение для профессионального решения экономических задач.</w:t>
      </w:r>
    </w:p>
    <w:p>
      <w:pPr>
        <w:contextualSpacing/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>
      <w:pPr>
        <w:contextualSpacing/>
        <w:jc w:val="both"/>
      </w:pPr>
      <w:r>
        <w:t>Объем дисциплины – 4зачетных единицы (144 час.), в том числе:</w:t>
      </w:r>
    </w:p>
    <w:p>
      <w:pPr>
        <w:contextualSpacing/>
        <w:jc w:val="both"/>
      </w:pPr>
      <w:r>
        <w:t>для очной формы обучения:</w:t>
      </w:r>
    </w:p>
    <w:p>
      <w:pPr>
        <w:contextualSpacing/>
        <w:jc w:val="both"/>
      </w:pPr>
      <w:r>
        <w:t>лекции – 32 час.;</w:t>
      </w:r>
    </w:p>
    <w:p>
      <w:pPr>
        <w:contextualSpacing/>
        <w:jc w:val="both"/>
      </w:pPr>
      <w:r>
        <w:t>лабораторные работы – 32 час.;</w:t>
      </w:r>
    </w:p>
    <w:p>
      <w:pPr>
        <w:contextualSpacing/>
        <w:jc w:val="both"/>
      </w:pPr>
      <w:r>
        <w:t>самостоятельная работа – 76 час.;</w:t>
      </w:r>
    </w:p>
    <w:p>
      <w:pPr>
        <w:contextualSpacing/>
        <w:jc w:val="both"/>
      </w:pPr>
      <w:r>
        <w:t>Форма контроля знаний –зачет, курсовой проект,</w:t>
      </w:r>
    </w:p>
    <w:p>
      <w:pPr>
        <w:contextualSpacing/>
        <w:jc w:val="both"/>
        <w:rPr>
          <w:i/>
        </w:rPr>
      </w:pPr>
      <w:r>
        <w:t>для очно-заочной формы обучения</w:t>
      </w:r>
    </w:p>
    <w:p>
      <w:pPr>
        <w:contextualSpacing/>
        <w:jc w:val="both"/>
      </w:pPr>
      <w:r>
        <w:t>лекции – 16 час.;</w:t>
      </w:r>
    </w:p>
    <w:p>
      <w:pPr>
        <w:contextualSpacing/>
        <w:jc w:val="both"/>
      </w:pPr>
      <w:r>
        <w:t>лабораторные работы – 16 час.;</w:t>
      </w:r>
    </w:p>
    <w:p>
      <w:pPr>
        <w:contextualSpacing/>
        <w:jc w:val="both"/>
      </w:pPr>
      <w:r>
        <w:t>самостоятельная работа – 108 час.;</w:t>
      </w:r>
    </w:p>
    <w:p>
      <w:pPr>
        <w:contextualSpacing/>
        <w:jc w:val="both"/>
        <w:rPr>
          <w:i/>
        </w:rPr>
      </w:pPr>
      <w:r>
        <w:t>Форма контроля знаний –зачет, курсовой проект.</w:t>
      </w:r>
    </w:p>
    <w:p/>
    <w:sectPr>
      <w:pgSz w:w="11906" w:h="16838"/>
      <w:pgMar w:top="1134" w:right="851" w:bottom="1134" w:left="1701" w:header="709" w:footer="709" w:gutter="0"/>
      <w:pgNumType w:start="1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7"/>
      <w:lvlText w:val=""/>
      <w:lvlJc w:val="left"/>
      <w:pPr>
        <w:tabs>
          <w:tab w:val="left" w:pos="-67"/>
        </w:tabs>
        <w:ind w:left="-67" w:hanging="360"/>
      </w:pPr>
      <w:rPr>
        <w:rFonts w:hint="default" w:ascii="Symbol" w:hAnsi="Symbol"/>
      </w:rPr>
    </w:lvl>
  </w:abstractNum>
  <w:abstractNum w:abstractNumId="1">
    <w:nsid w:val="39C86146"/>
    <w:multiLevelType w:val="multilevel"/>
    <w:tmpl w:val="39C86146"/>
    <w:lvl w:ilvl="0" w:tentative="0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E"/>
    <w:rsid w:val="000554E8"/>
    <w:rsid w:val="00081B68"/>
    <w:rsid w:val="000A081F"/>
    <w:rsid w:val="000C380D"/>
    <w:rsid w:val="000D3DAC"/>
    <w:rsid w:val="000E1AFB"/>
    <w:rsid w:val="000F6408"/>
    <w:rsid w:val="00103FE3"/>
    <w:rsid w:val="0010488E"/>
    <w:rsid w:val="0010711A"/>
    <w:rsid w:val="001100AC"/>
    <w:rsid w:val="00121F53"/>
    <w:rsid w:val="00123B12"/>
    <w:rsid w:val="00155B41"/>
    <w:rsid w:val="0015647C"/>
    <w:rsid w:val="0015706F"/>
    <w:rsid w:val="00163773"/>
    <w:rsid w:val="00167C11"/>
    <w:rsid w:val="0019222F"/>
    <w:rsid w:val="00197ACA"/>
    <w:rsid w:val="001A7FD2"/>
    <w:rsid w:val="001D3E35"/>
    <w:rsid w:val="001F26CE"/>
    <w:rsid w:val="002007B6"/>
    <w:rsid w:val="00222DB1"/>
    <w:rsid w:val="00256F15"/>
    <w:rsid w:val="00270417"/>
    <w:rsid w:val="00291FAF"/>
    <w:rsid w:val="002A3B79"/>
    <w:rsid w:val="002A45CA"/>
    <w:rsid w:val="002D4300"/>
    <w:rsid w:val="002D6FC3"/>
    <w:rsid w:val="002E4705"/>
    <w:rsid w:val="002E7D66"/>
    <w:rsid w:val="002F6918"/>
    <w:rsid w:val="00322A7C"/>
    <w:rsid w:val="0033096F"/>
    <w:rsid w:val="0033479D"/>
    <w:rsid w:val="00347ADE"/>
    <w:rsid w:val="00364A49"/>
    <w:rsid w:val="003722FC"/>
    <w:rsid w:val="003A7175"/>
    <w:rsid w:val="003C05E0"/>
    <w:rsid w:val="003D26F2"/>
    <w:rsid w:val="003D5B73"/>
    <w:rsid w:val="003E3FA0"/>
    <w:rsid w:val="003E4AB3"/>
    <w:rsid w:val="003F2DBD"/>
    <w:rsid w:val="00442E4C"/>
    <w:rsid w:val="00462E45"/>
    <w:rsid w:val="00475071"/>
    <w:rsid w:val="004851AA"/>
    <w:rsid w:val="004949BE"/>
    <w:rsid w:val="004A5989"/>
    <w:rsid w:val="004A6636"/>
    <w:rsid w:val="004B1E42"/>
    <w:rsid w:val="004C1E2C"/>
    <w:rsid w:val="004D4D68"/>
    <w:rsid w:val="004F3322"/>
    <w:rsid w:val="004F4DC1"/>
    <w:rsid w:val="00507DE9"/>
    <w:rsid w:val="00514B9D"/>
    <w:rsid w:val="00515F5E"/>
    <w:rsid w:val="00525362"/>
    <w:rsid w:val="005263E2"/>
    <w:rsid w:val="00533265"/>
    <w:rsid w:val="00564AB7"/>
    <w:rsid w:val="0058014F"/>
    <w:rsid w:val="005850A1"/>
    <w:rsid w:val="005F237C"/>
    <w:rsid w:val="006308E1"/>
    <w:rsid w:val="00650496"/>
    <w:rsid w:val="006653C4"/>
    <w:rsid w:val="006730AC"/>
    <w:rsid w:val="006A1E9E"/>
    <w:rsid w:val="006C072D"/>
    <w:rsid w:val="006D3B0C"/>
    <w:rsid w:val="006D6B74"/>
    <w:rsid w:val="00746F25"/>
    <w:rsid w:val="00785A57"/>
    <w:rsid w:val="00785C92"/>
    <w:rsid w:val="0079125D"/>
    <w:rsid w:val="0079147C"/>
    <w:rsid w:val="007A2812"/>
    <w:rsid w:val="00844E6A"/>
    <w:rsid w:val="00895659"/>
    <w:rsid w:val="00897896"/>
    <w:rsid w:val="008B10C6"/>
    <w:rsid w:val="008B7B28"/>
    <w:rsid w:val="008C3BC1"/>
    <w:rsid w:val="008E038C"/>
    <w:rsid w:val="008F47AC"/>
    <w:rsid w:val="008F77B5"/>
    <w:rsid w:val="00934129"/>
    <w:rsid w:val="0097058B"/>
    <w:rsid w:val="009778CC"/>
    <w:rsid w:val="00985CE3"/>
    <w:rsid w:val="009B138F"/>
    <w:rsid w:val="00A0485E"/>
    <w:rsid w:val="00A11508"/>
    <w:rsid w:val="00A24B66"/>
    <w:rsid w:val="00A65542"/>
    <w:rsid w:val="00A676D1"/>
    <w:rsid w:val="00A74C4A"/>
    <w:rsid w:val="00AA768A"/>
    <w:rsid w:val="00AB5C62"/>
    <w:rsid w:val="00AF248C"/>
    <w:rsid w:val="00AF7A24"/>
    <w:rsid w:val="00B16141"/>
    <w:rsid w:val="00B403C6"/>
    <w:rsid w:val="00B60084"/>
    <w:rsid w:val="00B71E4A"/>
    <w:rsid w:val="00B816B0"/>
    <w:rsid w:val="00B9783C"/>
    <w:rsid w:val="00BC2575"/>
    <w:rsid w:val="00BC623A"/>
    <w:rsid w:val="00BD011B"/>
    <w:rsid w:val="00C16ADA"/>
    <w:rsid w:val="00C25896"/>
    <w:rsid w:val="00C42AB3"/>
    <w:rsid w:val="00C45B8C"/>
    <w:rsid w:val="00C474FF"/>
    <w:rsid w:val="00C56A5C"/>
    <w:rsid w:val="00C574C6"/>
    <w:rsid w:val="00C745CB"/>
    <w:rsid w:val="00CE1C5D"/>
    <w:rsid w:val="00D05010"/>
    <w:rsid w:val="00D25C06"/>
    <w:rsid w:val="00D55382"/>
    <w:rsid w:val="00D953BE"/>
    <w:rsid w:val="00DE1B16"/>
    <w:rsid w:val="00E03373"/>
    <w:rsid w:val="00E16EF0"/>
    <w:rsid w:val="00EA1BC8"/>
    <w:rsid w:val="00EC1D71"/>
    <w:rsid w:val="00F3277A"/>
    <w:rsid w:val="00F6567C"/>
    <w:rsid w:val="00F74EDB"/>
    <w:rsid w:val="00F84D02"/>
    <w:rsid w:val="00FA668F"/>
    <w:rsid w:val="00FB35F3"/>
    <w:rsid w:val="00FB70AC"/>
    <w:rsid w:val="00FE4739"/>
    <w:rsid w:val="19D82C99"/>
    <w:rsid w:val="5A3A7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99"/>
    <w:pPr>
      <w:numPr>
        <w:ilvl w:val="0"/>
        <w:numId w:val="1"/>
      </w:numPr>
      <w:spacing w:before="100" w:beforeAutospacing="1" w:after="100" w:afterAutospacing="1"/>
    </w:pPr>
  </w:style>
  <w:style w:type="table" w:styleId="8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i/>
      <w:iCs/>
      <w:sz w:val="28"/>
      <w:szCs w:val="20"/>
      <w:lang w:eastAsia="ru-RU"/>
    </w:rPr>
  </w:style>
  <w:style w:type="paragraph" w:styleId="10">
    <w:name w:val="List Paragraph"/>
    <w:basedOn w:val="1"/>
    <w:qFormat/>
    <w:uiPriority w:val="34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No Spacing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12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extended-text__short"/>
    <w:basedOn w:val="3"/>
    <w:uiPriority w:val="0"/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F774-5051-47D3-AC08-AA221D48A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36</Pages>
  <Words>9497</Words>
  <Characters>54136</Characters>
  <Lines>451</Lines>
  <Paragraphs>127</Paragraphs>
  <TotalTime>0</TotalTime>
  <ScaleCrop>false</ScaleCrop>
  <LinksUpToDate>false</LinksUpToDate>
  <CharactersWithSpaces>63506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2023-05-10T03:55:00Z</dcterms:created>
  <dc:creator>Илья</dc:creator>
  <cp:lastModifiedBy>EkonomikaTR</cp:lastModifiedBy>
  <cp:lastPrinted>2022-08-23T08:08:00Z</cp:lastPrinted>
  <dcterms:modified xsi:type="dcterms:W3CDTF">2023-05-10T06:49:03Z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30116FDEDD4B4F64BAC72DDA6029C1E1</vt:lpwstr>
  </property>
</Properties>
</file>