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gif" ContentType="image/gi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inorHAnsi" w:hAnsiTheme="minorHAnsi" w:eastAsiaTheme="minorHAnsi" w:cstheme="minorBidi"/>
          <w:color w:val="auto"/>
          <w:sz w:val="22"/>
          <w:szCs w:val="22"/>
          <w:lang w:eastAsia="en-US"/>
        </w:rPr>
        <w:id w:val="-2141639649"/>
        <w:docPartObj>
          <w:docPartGallery w:val="Table of Contents"/>
          <w:docPartUnique/>
        </w:docPartObj>
      </w:sdtPr>
      <w:sdtEndPr>
        <w:rPr>
          <w:rFonts w:asciiTheme="minorHAnsi" w:hAnsiTheme="minorHAnsi" w:eastAsiaTheme="minorHAnsi" w:cstheme="minorBidi"/>
          <w:b/>
          <w:bCs/>
          <w:color w:val="auto"/>
          <w:sz w:val="22"/>
          <w:szCs w:val="22"/>
          <w:lang w:eastAsia="en-US"/>
        </w:rPr>
      </w:sdtEndPr>
      <w:sdtContent>
        <w:p>
          <w:pPr>
            <w:pStyle w:val="40"/>
            <w:spacing w:before="0" w:after="120"/>
            <w:jc w:val="center"/>
            <w:rPr>
              <w:rFonts w:hint="default" w:ascii="Times New Roman" w:hAnsi="Times New Roman" w:cs="Times New Roman"/>
              <w:color w:val="auto"/>
            </w:rPr>
          </w:pPr>
          <w:bookmarkStart w:id="0" w:name="_Toc536745508"/>
          <w:r>
            <w:rPr>
              <w:rFonts w:hint="default" w:ascii="Times New Roman" w:hAnsi="Times New Roman" w:cs="Times New Roman"/>
              <w:color w:val="auto"/>
            </w:rPr>
            <w:t>Оглавление</w:t>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"_Toc37266314" </w:instrText>
          </w:r>
          <w:r>
            <w:rPr>
              <w:rFonts w:hint="default" w:ascii="Times New Roman" w:hAnsi="Times New Roman" w:cs="Times New Roman"/>
            </w:rPr>
            <w:fldChar w:fldCharType="separate"/>
          </w:r>
          <w:r>
            <w:rPr>
              <w:rStyle w:val="15"/>
              <w:rFonts w:hint="default" w:ascii="Times New Roman" w:hAnsi="Times New Roman" w:eastAsia="Calibri" w:cs="Times New Roman"/>
              <w:b/>
            </w:rPr>
            <w:t>ОЦЕНКА ЗАГРУЗКИ СУДНА В ЗАВИСИМОСТИ ОТ СОСТОЯНИЯ ВОДНОГО ПУТИ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_Toc37266314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"_Toc37266315" </w:instrText>
          </w:r>
          <w:r>
            <w:rPr>
              <w:rFonts w:hint="default" w:ascii="Times New Roman" w:hAnsi="Times New Roman" w:cs="Times New Roman"/>
            </w:rPr>
            <w:fldChar w:fldCharType="separate"/>
          </w:r>
          <w:r>
            <w:rPr>
              <w:rStyle w:val="15"/>
              <w:rFonts w:hint="default" w:ascii="Times New Roman" w:hAnsi="Times New Roman" w:cs="Times New Roman"/>
              <w:b/>
              <w:caps/>
              <w:lang w:eastAsia="ru-RU"/>
            </w:rPr>
            <w:t>Критерии качества организации перевозочного процесса в части грузовых перевозок в современных  условиях.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_Toc37266315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"_Toc37266316" </w:instrText>
          </w:r>
          <w:r>
            <w:rPr>
              <w:rFonts w:hint="default" w:ascii="Times New Roman" w:hAnsi="Times New Roman" w:cs="Times New Roman"/>
            </w:rPr>
            <w:fldChar w:fldCharType="separate"/>
          </w:r>
          <w:r>
            <w:rPr>
              <w:rStyle w:val="15"/>
              <w:rFonts w:hint="default" w:ascii="Times New Roman" w:hAnsi="Times New Roman" w:eastAsia="Calibri" w:cs="Times New Roman"/>
              <w:b/>
              <w:caps/>
            </w:rPr>
            <w:t>Предпосылки строительства зернового терминала в Высоцке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_Toc37266316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"_Toc37266317" </w:instrText>
          </w:r>
          <w:r>
            <w:rPr>
              <w:rFonts w:hint="default" w:ascii="Times New Roman" w:hAnsi="Times New Roman" w:cs="Times New Roman"/>
            </w:rPr>
            <w:fldChar w:fldCharType="separate"/>
          </w:r>
          <w:r>
            <w:rPr>
              <w:rStyle w:val="15"/>
              <w:rFonts w:hint="default" w:ascii="Times New Roman" w:hAnsi="Times New Roman" w:cs="Times New Roman"/>
              <w:b/>
            </w:rPr>
            <w:t>СОВЕРШЕНСТВАНИЕ ПОГРУЗОЧНО-РАЗГРУЗОЧНЫХ ПРОЦЕССОВ ПУТЕМ КОМПЛЕКСНОЙ МЕХАНИЗАЦИИ И АВТОМАТИЗАЦИИ РАБОТ НА ПРИМЕРЕ ГТС ШУШАРЫ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_Toc37266317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"_Toc37266318" </w:instrText>
          </w:r>
          <w:r>
            <w:rPr>
              <w:rFonts w:hint="default" w:ascii="Times New Roman" w:hAnsi="Times New Roman" w:cs="Times New Roman"/>
            </w:rPr>
            <w:fldChar w:fldCharType="separate"/>
          </w:r>
          <w:r>
            <w:rPr>
              <w:rStyle w:val="15"/>
              <w:rFonts w:hint="default" w:ascii="Times New Roman" w:hAnsi="Times New Roman" w:eastAsia="Calibri" w:cs="Times New Roman"/>
              <w:b/>
              <w:caps/>
            </w:rPr>
            <w:t>Информационные технологии в логистике пассажирских перевозок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_Toc37266318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"_Toc37266319" </w:instrText>
          </w:r>
          <w:r>
            <w:rPr>
              <w:rFonts w:hint="default" w:ascii="Times New Roman" w:hAnsi="Times New Roman" w:cs="Times New Roman"/>
            </w:rPr>
            <w:fldChar w:fldCharType="separate"/>
          </w:r>
          <w:r>
            <w:rPr>
              <w:rStyle w:val="15"/>
              <w:rFonts w:hint="default" w:ascii="Times New Roman" w:hAnsi="Times New Roman" w:eastAsia="Calibri" w:cs="Times New Roman"/>
              <w:b/>
              <w:lang w:eastAsia="ru-RU"/>
            </w:rPr>
            <w:t xml:space="preserve">ИНТЕРПРЕТАЦИЯ МЕТОДА </w:t>
          </w:r>
          <w:r>
            <w:rPr>
              <w:rStyle w:val="15"/>
              <w:rFonts w:hint="default" w:ascii="Times New Roman" w:hAnsi="Times New Roman" w:eastAsia="Calibri" w:cs="Times New Roman"/>
              <w:b/>
              <w:lang w:val="en-US" w:eastAsia="ru-RU"/>
            </w:rPr>
            <w:t>ABC</w:t>
          </w:r>
          <w:r>
            <w:rPr>
              <w:rStyle w:val="15"/>
              <w:rFonts w:hint="default" w:ascii="Times New Roman" w:hAnsi="Times New Roman" w:eastAsia="Calibri" w:cs="Times New Roman"/>
              <w:b/>
              <w:lang w:eastAsia="ru-RU"/>
            </w:rPr>
            <w:t>/</w:t>
          </w:r>
          <w:r>
            <w:rPr>
              <w:rStyle w:val="15"/>
              <w:rFonts w:hint="default" w:ascii="Times New Roman" w:hAnsi="Times New Roman" w:eastAsia="Calibri" w:cs="Times New Roman"/>
              <w:b/>
              <w:lang w:val="en-US" w:eastAsia="ru-RU"/>
            </w:rPr>
            <w:t>XYZ</w:t>
          </w:r>
          <w:r>
            <w:rPr>
              <w:rStyle w:val="15"/>
              <w:rFonts w:hint="default" w:ascii="Times New Roman" w:hAnsi="Times New Roman" w:eastAsia="Calibri" w:cs="Times New Roman"/>
              <w:b/>
              <w:lang w:eastAsia="ru-RU"/>
            </w:rPr>
            <w:t xml:space="preserve"> ДЛЯ АНАЛИЗА МАТЕРИАЛЬНОГО ПОТОКА НА СКЛАДЕ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_Toc37266319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"_Toc37266320" </w:instrText>
          </w:r>
          <w:r>
            <w:rPr>
              <w:rFonts w:hint="default" w:ascii="Times New Roman" w:hAnsi="Times New Roman" w:cs="Times New Roman"/>
            </w:rPr>
            <w:fldChar w:fldCharType="separate"/>
          </w:r>
          <w:r>
            <w:rPr>
              <w:rStyle w:val="15"/>
              <w:rFonts w:hint="default" w:ascii="Times New Roman" w:hAnsi="Times New Roman" w:eastAsia="Calibri" w:cs="Times New Roman"/>
              <w:b/>
            </w:rPr>
            <w:t xml:space="preserve">ПРИМЕНЕНИЕ МАШИННОГО ЗРЕНИЯ ПРИ ПРОВЕДЕНИИ </w:t>
          </w:r>
          <w:bookmarkStart w:id="26" w:name="_GoBack"/>
          <w:r>
            <w:rPr>
              <w:rStyle w:val="15"/>
              <w:rFonts w:hint="default" w:ascii="Times New Roman" w:hAnsi="Times New Roman" w:eastAsia="Calibri" w:cs="Times New Roman"/>
              <w:b/>
            </w:rPr>
            <w:t xml:space="preserve">КОММЕРЧЕСКОГО </w:t>
          </w:r>
          <w:bookmarkEnd w:id="26"/>
          <w:r>
            <w:rPr>
              <w:rStyle w:val="15"/>
              <w:rFonts w:hint="default" w:ascii="Times New Roman" w:hAnsi="Times New Roman" w:eastAsia="Calibri" w:cs="Times New Roman"/>
              <w:b/>
            </w:rPr>
            <w:t>ОСМОТРА ВАГОНОВ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_Toc37266320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"_Toc37266321" </w:instrText>
          </w:r>
          <w:r>
            <w:rPr>
              <w:rFonts w:hint="default" w:ascii="Times New Roman" w:hAnsi="Times New Roman" w:cs="Times New Roman"/>
            </w:rPr>
            <w:fldChar w:fldCharType="separate"/>
          </w:r>
          <w:r>
            <w:rPr>
              <w:rStyle w:val="15"/>
              <w:rFonts w:hint="default" w:ascii="Times New Roman" w:hAnsi="Times New Roman" w:cs="Times New Roman"/>
              <w:b/>
            </w:rPr>
            <w:t>ИССЛЕДОВАНИЕ МЕТОДОВ ВЗАИМОДЕЙСТВИЯ РАЗЛИЧНЫХ ВИДОВ ТРАНСПОРТА В ПОРТУ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_Toc37266321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"_Toc37266322" </w:instrText>
          </w:r>
          <w:r>
            <w:rPr>
              <w:rFonts w:hint="default" w:ascii="Times New Roman" w:hAnsi="Times New Roman" w:cs="Times New Roman"/>
            </w:rPr>
            <w:fldChar w:fldCharType="separate"/>
          </w:r>
          <w:r>
            <w:rPr>
              <w:rStyle w:val="15"/>
              <w:rFonts w:hint="default" w:ascii="Times New Roman" w:hAnsi="Times New Roman" w:eastAsia="Calibri" w:cs="Times New Roman"/>
              <w:b/>
            </w:rPr>
            <w:t>РОЛЬ ПОСРЕДНИЧЕСКИХ КОМПАНИЙ В СИСТЕМЕ ЗАКУПОК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_Toc37266322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"_Toc37266323" </w:instrText>
          </w:r>
          <w:r>
            <w:rPr>
              <w:rFonts w:hint="default" w:ascii="Times New Roman" w:hAnsi="Times New Roman" w:cs="Times New Roman"/>
            </w:rPr>
            <w:fldChar w:fldCharType="separate"/>
          </w:r>
          <w:r>
            <w:rPr>
              <w:rStyle w:val="15"/>
              <w:rFonts w:hint="default" w:ascii="Times New Roman" w:hAnsi="Times New Roman" w:cs="Times New Roman"/>
              <w:b/>
            </w:rPr>
            <w:t>СОВЕРШЕНСТВОВАНИЕ ОРГАНИЗАЦИИ ПЕРЕВОЗОК ТРАНСОРТНОЙ КОМПАНИИ НА ОСНОВЕ СОЗДАНИЯ СОБСТВЕННОГО ПАРКА АВТОМОБИЛЕЙ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_Toc37266323 \h </w:instrText>
          </w:r>
          <w:r>
            <w:rPr>
              <w:rFonts w:hint="default" w:ascii="Times New Roman" w:hAnsi="Times New Roman" w:cs="Times New Roman"/>
            </w:rPr>
            <w:fldChar w:fldCharType="separate"/>
          </w:r>
          <w:r>
            <w:rPr>
              <w:rFonts w:hint="default" w:ascii="Times New Roman" w:hAnsi="Times New Roman" w:cs="Times New Roman"/>
            </w:rPr>
            <w:t>79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"_Toc37266324" </w:instrText>
          </w:r>
          <w:r>
            <w:rPr>
              <w:rFonts w:hint="default" w:ascii="Times New Roman" w:hAnsi="Times New Roman" w:cs="Times New Roman"/>
            </w:rPr>
            <w:fldChar w:fldCharType="separate"/>
          </w:r>
          <w:r>
            <w:rPr>
              <w:rStyle w:val="15"/>
              <w:rFonts w:hint="default" w:ascii="Times New Roman" w:hAnsi="Times New Roman" w:cs="Times New Roman"/>
              <w:b/>
              <w:lang w:eastAsia="ru-RU"/>
            </w:rPr>
            <w:t>ЗНАЧЕНИЕ РАЗВИТИЯ УПРАВЛЕНИЯ ЦЕПЯМИ ПОСТАВОК В ПОВЫШЕНИИ ЭФФЕКТИВНОСТИ ВТК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_Toc37266324 \h </w:instrText>
          </w:r>
          <w:r>
            <w:rPr>
              <w:rFonts w:hint="default" w:ascii="Times New Roman" w:hAnsi="Times New Roman" w:cs="Times New Roman"/>
            </w:rPr>
            <w:fldChar w:fldCharType="separate"/>
          </w:r>
          <w:r>
            <w:rPr>
              <w:rFonts w:hint="default" w:ascii="Times New Roman" w:hAnsi="Times New Roman" w:cs="Times New Roman"/>
            </w:rPr>
            <w:t>88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7"/>
            <w:tabs>
              <w:tab w:val="right" w:leader="dot" w:pos="9060"/>
            </w:tabs>
            <w:rPr>
              <w:rFonts w:hint="default" w:ascii="Times New Roman" w:hAnsi="Times New Roman" w:cs="Times New Roman" w:eastAsiaTheme="minorEastAsia"/>
              <w:lang w:eastAsia="ru-RU"/>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"_Toc37266325" </w:instrText>
          </w:r>
          <w:r>
            <w:rPr>
              <w:rFonts w:hint="default" w:ascii="Times New Roman" w:hAnsi="Times New Roman" w:cs="Times New Roman"/>
            </w:rPr>
            <w:fldChar w:fldCharType="separate"/>
          </w:r>
          <w:r>
            <w:rPr>
              <w:rStyle w:val="15"/>
              <w:rFonts w:hint="default" w:ascii="Times New Roman" w:hAnsi="Times New Roman" w:cs="Times New Roman"/>
              <w:b/>
              <w:lang w:val="en-US"/>
            </w:rPr>
            <w:t>ASPECTS OF USING COST-BENEFIT ANALYSIS FOR THE ECONOMIC PROGRAMS.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_Toc37266325 \h </w:instrText>
          </w:r>
          <w:r>
            <w:rPr>
              <w:rFonts w:hint="default" w:ascii="Times New Roman" w:hAnsi="Times New Roman" w:cs="Times New Roman"/>
            </w:rPr>
            <w:fldChar w:fldCharType="separate"/>
          </w:r>
          <w:r>
            <w:rPr>
              <w:rFonts w:hint="default" w:ascii="Times New Roman" w:hAnsi="Times New Roman" w:cs="Times New Roman"/>
            </w:rPr>
            <w:t>96</w:t>
          </w:r>
          <w:r>
            <w:rPr>
              <w:rFonts w:hint="default" w:ascii="Times New Roman" w:hAnsi="Times New Roman" w:cs="Times New Roman"/>
            </w:rPr>
            <w:fldChar w:fldCharType="end"/>
          </w:r>
          <w:r>
            <w:rPr>
              <w:rFonts w:hint="default" w:ascii="Times New Roman" w:hAnsi="Times New Roman" w:cs="Times New Roman"/>
            </w:rPr>
            <w:fldChar w:fldCharType="end"/>
          </w:r>
        </w:p>
        <w:p>
          <w:pPr>
            <w:spacing w:after="120"/>
          </w:pPr>
          <w:r>
            <w:rPr>
              <w:rFonts w:hint="default" w:ascii="Times New Roman" w:hAnsi="Times New Roman" w:cs="Times New Roman"/>
              <w:b/>
              <w:bCs/>
            </w:rPr>
            <w:fldChar w:fldCharType="end"/>
          </w:r>
        </w:p>
      </w:sdtContent>
    </w:sdt>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360" w:lineRule="auto"/>
        <w:contextualSpacing/>
        <w:jc w:val="right"/>
        <w:rPr>
          <w:rFonts w:ascii="Times New Roman" w:hAnsi="Times New Roman" w:eastAsia="Calibri" w:cs="Times New Roman"/>
          <w:b/>
          <w:sz w:val="28"/>
          <w:szCs w:val="28"/>
        </w:rPr>
      </w:pPr>
    </w:p>
    <w:p>
      <w:pPr>
        <w:spacing w:after="0" w:line="276" w:lineRule="auto"/>
        <w:jc w:val="right"/>
        <w:rPr>
          <w:rFonts w:ascii="Times New Roman" w:hAnsi="Times New Roman" w:eastAsia="Calibri" w:cs="Times New Roman"/>
          <w:b/>
          <w:sz w:val="28"/>
          <w:szCs w:val="28"/>
        </w:rPr>
      </w:pPr>
      <w:r>
        <w:rPr>
          <w:rFonts w:ascii="Times New Roman" w:hAnsi="Times New Roman" w:eastAsia="Calibri" w:cs="Times New Roman"/>
          <w:b/>
          <w:sz w:val="28"/>
          <w:szCs w:val="28"/>
        </w:rPr>
        <w:t>Арефьев И.Б.*, Икаев Заур**</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Петербургский государственный университет</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 путей сообщения Императора Александра I,</w:t>
      </w:r>
    </w:p>
    <w:p>
      <w:pPr>
        <w:spacing w:after="0" w:line="360" w:lineRule="auto"/>
        <w:jc w:val="right"/>
        <w:rPr>
          <w:rFonts w:ascii="Times New Roman" w:hAnsi="Times New Roman" w:eastAsia="Times New Roman" w:cs="Times New Roman"/>
          <w:sz w:val="28"/>
          <w:szCs w:val="28"/>
          <w:lang w:val="pl-PL" w:eastAsia="pl-PL"/>
        </w:rPr>
      </w:pPr>
      <w:r>
        <w:rPr>
          <w:rFonts w:ascii="Times New Roman" w:hAnsi="Times New Roman" w:eastAsia="Times New Roman" w:cs="Times New Roman"/>
          <w:sz w:val="28"/>
          <w:szCs w:val="28"/>
          <w:lang w:val="pl-PL" w:eastAsia="pl-PL"/>
        </w:rPr>
        <w:t>Санкт-Петербург, Россия</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*доктор технических наук, профессор </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**студент</w:t>
      </w:r>
    </w:p>
    <w:p>
      <w:pPr>
        <w:spacing w:after="0" w:line="276" w:lineRule="auto"/>
        <w:jc w:val="right"/>
        <w:rPr>
          <w:rFonts w:ascii="Times New Roman" w:hAnsi="Times New Roman" w:eastAsia="Calibri" w:cs="Times New Roman"/>
          <w:sz w:val="28"/>
          <w:szCs w:val="28"/>
        </w:rPr>
      </w:pPr>
    </w:p>
    <w:p>
      <w:pPr>
        <w:pStyle w:val="2"/>
        <w:spacing w:before="0" w:line="240" w:lineRule="auto"/>
        <w:jc w:val="center"/>
        <w:rPr>
          <w:rFonts w:ascii="Times New Roman" w:hAnsi="Times New Roman" w:eastAsia="Calibri"/>
          <w:b/>
          <w:color w:val="auto"/>
          <w:sz w:val="28"/>
          <w:szCs w:val="28"/>
        </w:rPr>
      </w:pPr>
      <w:bookmarkStart w:id="1" w:name="_Toc37266314"/>
      <w:r>
        <w:rPr>
          <w:rFonts w:ascii="Times New Roman" w:hAnsi="Times New Roman" w:eastAsia="Calibri"/>
          <w:b/>
          <w:color w:val="auto"/>
          <w:sz w:val="28"/>
          <w:szCs w:val="28"/>
        </w:rPr>
        <w:t>ОЦЕНКА ЗАГРУЗКИ СУДНА В ЗАВИСИМОСТИ ОТ СОСТОЯНИЯ ВОДНОГО ПУТИ</w:t>
      </w:r>
      <w:bookmarkEnd w:id="1"/>
    </w:p>
    <w:p>
      <w:pPr>
        <w:spacing w:after="0" w:line="276" w:lineRule="auto"/>
        <w:jc w:val="center"/>
        <w:rPr>
          <w:rFonts w:ascii="Times New Roman" w:hAnsi="Times New Roman" w:eastAsia="Calibri" w:cs="Times New Roman"/>
          <w:b/>
          <w:sz w:val="28"/>
          <w:szCs w:val="28"/>
        </w:rPr>
      </w:pP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b/>
          <w:sz w:val="28"/>
          <w:szCs w:val="28"/>
        </w:rPr>
        <w:t xml:space="preserve">Аннотация: </w:t>
      </w:r>
      <w:r>
        <w:rPr>
          <w:rFonts w:ascii="Times New Roman" w:hAnsi="Times New Roman" w:eastAsia="Calibri" w:cs="Times New Roman"/>
          <w:sz w:val="28"/>
          <w:szCs w:val="28"/>
        </w:rPr>
        <w:t xml:space="preserve">В статье предложена методика организации и оценки погрузочно-разгрузочных работ типовых судов река-море плавания для Балтийского бассейна в зависимости от состояния водного пути. Примеры решений были основаны на данных Санкт-Петербургского порта. </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b/>
          <w:sz w:val="28"/>
          <w:szCs w:val="28"/>
        </w:rPr>
        <w:t>Ключевые слова</w:t>
      </w:r>
      <w:r>
        <w:rPr>
          <w:rFonts w:ascii="Times New Roman" w:hAnsi="Times New Roman" w:eastAsia="Calibri" w:cs="Times New Roman"/>
          <w:sz w:val="28"/>
          <w:szCs w:val="28"/>
        </w:rPr>
        <w:t>: водный путь, транспортный узел, грузовые операции, судно, вагон.</w:t>
      </w:r>
    </w:p>
    <w:p>
      <w:pPr>
        <w:spacing w:after="0" w:line="276"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w:t>
      </w:r>
    </w:p>
    <w:p>
      <w:pPr>
        <w:spacing w:after="0" w:line="276" w:lineRule="auto"/>
        <w:rPr>
          <w:rFonts w:ascii="Times New Roman" w:hAnsi="Times New Roman" w:eastAsia="Calibri" w:cs="Times New Roman"/>
          <w:b/>
          <w:sz w:val="28"/>
          <w:szCs w:val="28"/>
        </w:rPr>
      </w:pPr>
      <w:r>
        <w:rPr>
          <w:rFonts w:ascii="Times New Roman" w:hAnsi="Times New Roman" w:eastAsia="Calibri" w:cs="Times New Roman"/>
          <w:b/>
          <w:sz w:val="28"/>
          <w:szCs w:val="28"/>
        </w:rPr>
        <w:t>Введение</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В последнее время основу грузооборота в Транспортных узлах составляют мультимодальные операции типа «судно-вагон». При этом главной проблемой является обеспечение полной  загрузки судна в установленные сроки. Эта задача напрямую зависит от состояния водного пути, каналов, возможностей манёвра на акватории и т.п.   Но главным ограничением в обеспечении бесперебойной работы Транспортного узла остаются климатические условия. Именно от них  зависит непредвиденное и трудно прогнозируемое изменение оперативных условий плавания, случайное изменение состояния водного пути в целом [1]. В следствии таких явлений порт не может на временном уровне смена-сутки предоставлять полный спектр услуг для осуществления перевозок и предоставлению нужного типа судна.</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Необходимо рассмотреть варианты подачи судна, которые будут представлены под разгрузку - погрузку по климатическим условиям чтобы знать какое количество груза он сможет принять и сколько груза нужно подать на причал железно-дорожными составами. Эти расчёты позволят  избежать дополнительные затраты на хранение груза в порту и не обоснованного простоя вагонов. </w:t>
      </w:r>
    </w:p>
    <w:p>
      <w:pPr>
        <w:spacing w:after="0" w:line="276" w:lineRule="auto"/>
        <w:jc w:val="both"/>
        <w:rPr>
          <w:rFonts w:ascii="Times New Roman" w:hAnsi="Times New Roman" w:eastAsia="Calibri" w:cs="Times New Roman"/>
          <w:sz w:val="28"/>
          <w:szCs w:val="28"/>
        </w:rPr>
      </w:pPr>
    </w:p>
    <w:p>
      <w:pPr>
        <w:spacing w:after="0" w:line="276"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Основная часть</w:t>
      </w:r>
    </w:p>
    <w:p>
      <w:pPr>
        <w:spacing w:after="0" w:line="276"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Санкт-Петербург является одним из крупнейших Транспортных узлов не только России, но Балтийского региона. Он замыкает северное направление сухопутного транспортного коридора Восток – Запад и имеет стратегическое значение для всей транспортной системы России. К Морскому порту Санкт-Петербурга ведёт подходной канал, который расходится на ряд специализированных участков и причалов (Рис.1). Развитая внутренняя железнодорожная сеть допускает манёвры составами и позволяет оптимизировать процесс перевалки груза с состава (вагона) на судно. </w:t>
      </w:r>
    </w:p>
    <w:p>
      <w:pPr>
        <w:spacing w:after="0" w:line="276"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w:t>
      </w:r>
    </w:p>
    <w:p>
      <w:pPr>
        <w:spacing w:after="20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5923915" cy="4874260"/>
            <wp:effectExtent l="19050" t="0" r="635" b="0"/>
            <wp:docPr id="5" name="Obraz 1" descr="spb_scheme_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spb_scheme_see"/>
                    <pic:cNvPicPr>
                      <a:picLocks noChangeAspect="1" noChangeArrowheads="1"/>
                    </pic:cNvPicPr>
                  </pic:nvPicPr>
                  <pic:blipFill>
                    <a:blip r:embed="rId5" cstate="print"/>
                    <a:srcRect/>
                    <a:stretch>
                      <a:fillRect/>
                    </a:stretch>
                  </pic:blipFill>
                  <pic:spPr>
                    <a:xfrm>
                      <a:off x="0" y="0"/>
                      <a:ext cx="5923915" cy="4874260"/>
                    </a:xfrm>
                    <a:prstGeom prst="rect">
                      <a:avLst/>
                    </a:prstGeom>
                    <a:noFill/>
                    <a:ln w="9525">
                      <a:noFill/>
                      <a:miter lim="800000"/>
                      <a:headEnd/>
                      <a:tailEnd/>
                    </a:ln>
                  </pic:spPr>
                </pic:pic>
              </a:graphicData>
            </a:graphic>
          </wp:inline>
        </w:drawing>
      </w:r>
    </w:p>
    <w:p>
      <w:pPr>
        <w:spacing w:after="0" w:line="276"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Рис. 1. Схема морского порта Санкт-Петербурга</w:t>
      </w:r>
    </w:p>
    <w:p>
      <w:pPr>
        <w:spacing w:after="0" w:line="276" w:lineRule="auto"/>
        <w:jc w:val="center"/>
        <w:rPr>
          <w:rFonts w:ascii="Times New Roman" w:hAnsi="Times New Roman" w:eastAsia="Calibri" w:cs="Times New Roman"/>
          <w:sz w:val="28"/>
          <w:szCs w:val="28"/>
        </w:rPr>
      </w:pPr>
    </w:p>
    <w:p>
      <w:pPr>
        <w:spacing w:after="0" w:line="276"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 зависимости от погодных условий плавания и колебания уровня воды в канале можно просчитать тип  судна (габариты, грузоподъёмность, осадку и т.п.), выявить тип судна (судов), обеспечивающего дальнейшую доставку товара по мультимодальной схеме, чтобы избежать простоя и лишних трат на простой судна и груза. Таким образом возникает задача оценки загрузки судна в зависимости от оперативного (до 8 часов) технического состояния водного пути или подходного канала: глубина, ширина судового хода, высота волны, допустимая высота сухого борта и т.д [2,3]. Предложим методику, реализующую указанную задачу (Таблица 1).</w:t>
      </w:r>
    </w:p>
    <w:p>
      <w:pPr>
        <w:spacing w:after="0" w:line="276" w:lineRule="auto"/>
        <w:rPr>
          <w:rFonts w:ascii="Times New Roman" w:hAnsi="Times New Roman" w:eastAsia="Calibri" w:cs="Times New Roman"/>
          <w:sz w:val="28"/>
          <w:szCs w:val="28"/>
        </w:rPr>
      </w:pPr>
    </w:p>
    <w:p>
      <w:pPr>
        <w:spacing w:after="0" w:line="276"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К территории Санкт-Петербургского порта ведёт подходной канал, который на его акватории распадается на ряд маневровых каналов. В этой канальной системе преимущественно используются «река-море» суда 507 проекта. Эти суда имеют грузоподъемность 5300 тонн с осадкой 3,5 м. Таким образом, порт должен гарантировать глубину судового хода в каждом канале 3,8 м. (3,5м. + 0,3м.). Реже используются суда меньших возможностей, но имеющие право выхода в морские бассейны Балтийского региона. К ним, в частности, относятся суда 537 проекта: максимальная грузоподъемность 2700 тонн при осадке 2,5 м. </w:t>
      </w:r>
    </w:p>
    <w:p>
      <w:pPr>
        <w:spacing w:after="0" w:line="276" w:lineRule="auto"/>
        <w:rPr>
          <w:rFonts w:ascii="Times New Roman" w:hAnsi="Times New Roman" w:eastAsia="Calibri" w:cs="Times New Roman"/>
          <w:sz w:val="28"/>
          <w:szCs w:val="28"/>
        </w:rPr>
      </w:pPr>
    </w:p>
    <w:p>
      <w:pPr>
        <w:spacing w:after="0" w:line="276"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Расчётная таблица</w:t>
      </w:r>
    </w:p>
    <w:p>
      <w:pPr>
        <w:spacing w:after="0" w:line="276"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 xml:space="preserve">                                                                                                            </w:t>
      </w:r>
      <w:r>
        <w:rPr>
          <w:rFonts w:ascii="Times New Roman" w:hAnsi="Times New Roman" w:eastAsia="Calibri" w:cs="Times New Roman"/>
          <w:sz w:val="28"/>
          <w:szCs w:val="28"/>
        </w:rPr>
        <w:t>Таблица 1</w:t>
      </w:r>
    </w:p>
    <w:tbl>
      <w:tblPr>
        <w:tblStyle w:val="17"/>
        <w:tblW w:w="9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272"/>
        <w:gridCol w:w="1677"/>
        <w:gridCol w:w="1532"/>
        <w:gridCol w:w="1750"/>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Параметры</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Знак</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Мера (ед)</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Формула расчета</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Источник данных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1</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2</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3</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4</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5</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1</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Осадка (полная загрузка)</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Zp</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Технический паспорт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2</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Осадка порожняя</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Zo</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Технический паспорт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3</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Осадка (по факту объема груза</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Ze</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en-US"/>
              </w:rPr>
              <w:t>Ze= Gr-</w:t>
            </w:r>
            <w:r>
              <w:rPr>
                <w:rFonts w:ascii="Cambria Math" w:hAnsi="Cambria Math" w:eastAsia="Calibri" w:cs="Times New Roman"/>
                <w:sz w:val="24"/>
                <w:szCs w:val="24"/>
                <w:lang w:val="en-US"/>
              </w:rPr>
              <w:t>△Gr</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Правила экспулатации водного пути (ВВП)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4</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Глубина (габарита ВВП)</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Gr</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Служба эксплуатации ВВП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5</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Запас глубины (глубина под днищем)</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Cambria Math" w:hAnsi="Cambria Math" w:eastAsia="Calibri" w:cs="Cambria Math"/>
                <w:sz w:val="24"/>
                <w:szCs w:val="24"/>
              </w:rPr>
              <w:t>△</w:t>
            </w:r>
            <w:r>
              <w:rPr>
                <w:rFonts w:ascii="Times New Roman" w:hAnsi="Times New Roman" w:eastAsia="Calibri" w:cs="Times New Roman"/>
                <w:sz w:val="24"/>
                <w:szCs w:val="24"/>
              </w:rPr>
              <w:t>Gr</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Cambria Math" w:hAnsi="Cambria Math" w:eastAsia="Calibri" w:cs="Cambria Math"/>
                <w:sz w:val="24"/>
                <w:szCs w:val="24"/>
              </w:rPr>
              <w:t>△</w:t>
            </w:r>
            <w:r>
              <w:rPr>
                <w:rFonts w:ascii="Times New Roman" w:hAnsi="Times New Roman" w:eastAsia="Calibri" w:cs="Times New Roman"/>
                <w:sz w:val="24"/>
                <w:szCs w:val="24"/>
              </w:rPr>
              <w:t xml:space="preserve">Gr = Gr-Z </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Служба эксплуатации ВВП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6</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Высота борта (полная)</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W</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Правила эксплуатации ВВП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7</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Высота борта (сухая)</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Ws</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Правила эксплуатации ВВП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8</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Грузо-подъемность (полная)</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N</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т</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Технический паспорт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9</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Грузо-подъемность (расчётная)</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N*</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rPr>
              <w:t>т</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pl-PL"/>
              </w:rPr>
            </w:pPr>
            <w:r>
              <w:rPr>
                <w:rFonts w:ascii="Times New Roman" w:hAnsi="Times New Roman" w:eastAsia="Calibri" w:cs="Times New Roman"/>
                <w:sz w:val="24"/>
                <w:szCs w:val="24"/>
                <w:lang w:val="pl-PL"/>
              </w:rPr>
              <w:t>N*=N(Ze-Zo)/(Zp-Zo)</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Расчёт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10</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Эксплуатацион-ная осадка (по глубине)</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Zeg</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Zeg=Gr-</w:t>
            </w:r>
            <w:r>
              <w:rPr>
                <w:rFonts w:ascii="Cambria Math" w:hAnsi="Cambria Math" w:eastAsia="Calibri" w:cs="Times New Roman"/>
                <w:sz w:val="24"/>
                <w:szCs w:val="24"/>
                <w:lang w:val="en-US"/>
              </w:rPr>
              <w:t>△</w:t>
            </w:r>
            <w:r>
              <w:rPr>
                <w:rFonts w:ascii="Times New Roman" w:hAnsi="Times New Roman" w:eastAsia="Calibri" w:cs="Times New Roman"/>
                <w:sz w:val="24"/>
                <w:szCs w:val="24"/>
                <w:lang w:val="en-US"/>
              </w:rPr>
              <w:t>Gr</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Расчёт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11</w:t>
            </w:r>
          </w:p>
        </w:tc>
        <w:tc>
          <w:tcPr>
            <w:tcW w:w="22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Эксплуатацион-ная осадка (по борту)</w:t>
            </w:r>
          </w:p>
        </w:tc>
        <w:tc>
          <w:tcPr>
            <w:tcW w:w="167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Zew</w:t>
            </w:r>
          </w:p>
        </w:tc>
        <w:tc>
          <w:tcPr>
            <w:tcW w:w="1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м</w:t>
            </w:r>
          </w:p>
        </w:tc>
        <w:tc>
          <w:tcPr>
            <w:tcW w:w="17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Zew=W-Ws0</w:t>
            </w:r>
          </w:p>
        </w:tc>
        <w:tc>
          <w:tcPr>
            <w:tcW w:w="198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Расчёт</w:t>
            </w:r>
          </w:p>
        </w:tc>
      </w:tr>
    </w:tbl>
    <w:p>
      <w:pPr>
        <w:spacing w:after="0" w:line="276" w:lineRule="auto"/>
        <w:jc w:val="both"/>
        <w:rPr>
          <w:rFonts w:ascii="Times New Roman" w:hAnsi="Times New Roman" w:eastAsia="Calibri" w:cs="Times New Roman"/>
          <w:sz w:val="28"/>
          <w:szCs w:val="28"/>
        </w:rPr>
      </w:pP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При этом, дать гарантии по климатическим условиям вне порта (залив, море, озеро, река) не может ни один из диспетчеров службы движения. По итогам длительных наблюдений, диспетчер может только прогнозировать состояние водного пути. Однако, на интервале «смена - сутки» такой прогноз для объекта типа «порт» не реален. Поэтому судно не всегда может быть подано в срок и загружено максимально. Следовательно, надо учитывать как состояние  канала, так  и климатические условия на пути доставки. Порт не всегда может предоставить судно с нужной осадкой. Для этого приходиться оперативно искать по региону другие суда аналогичных типов, подходящие под заданные условия [3]. </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Рассмотрим варианты управления погрузочно-разгрузочными работами на судах проектов 507 и 537 в Санкт-Петербургском порту. </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Основными условиями  начала такой работы являются базовые исходные данные судов и условия Морского и Речного Регистра РФ </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Для судов 507 и 537 проектов:</w:t>
      </w:r>
    </w:p>
    <w:p>
      <w:pPr>
        <w:numPr>
          <w:ilvl w:val="0"/>
          <w:numId w:val="1"/>
        </w:numPr>
        <w:spacing w:after="0" w:line="276"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Гарантированная глубина судового хода (габарит) – 3,0м;</w:t>
      </w:r>
    </w:p>
    <w:p>
      <w:pPr>
        <w:numPr>
          <w:ilvl w:val="0"/>
          <w:numId w:val="1"/>
        </w:numPr>
        <w:spacing w:after="200" w:line="276"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Осадка судна порожнего – 0,79м;</w:t>
      </w:r>
    </w:p>
    <w:p>
      <w:pPr>
        <w:numPr>
          <w:ilvl w:val="0"/>
          <w:numId w:val="1"/>
        </w:numPr>
        <w:spacing w:after="0" w:line="276"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Запас воды под килем – 0,3м.</w:t>
      </w:r>
    </w:p>
    <w:p>
      <w:pPr>
        <w:spacing w:after="20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Расчёты, проведённые на основании предложенной методики в условиях Санкт-Петербургского порта показали, что в определённых климатических условиях загрузка судна по полному технологическому режиму не возможна. Следует его недогружать для обеспечения безопасности плавания.  Это хорошо видно на номограммах (Рис.1).</w:t>
      </w:r>
    </w:p>
    <w:p>
      <w:pPr>
        <w:spacing w:after="200" w:line="276" w:lineRule="auto"/>
        <w:jc w:val="both"/>
        <w:rPr>
          <w:rFonts w:ascii="Calibri" w:hAnsi="Calibri" w:eastAsia="Calibri" w:cs="Times New Roman"/>
          <w:lang w:eastAsia="ru-RU"/>
        </w:rPr>
      </w:pPr>
      <w:r>
        <w:rPr>
          <w:rFonts w:ascii="Times New Roman" w:hAnsi="Times New Roman" w:eastAsia="Calibri" w:cs="Times New Roman"/>
          <w:sz w:val="28"/>
          <w:szCs w:val="28"/>
        </w:rPr>
        <w:t xml:space="preserve">                                                 Загрузка </w:t>
      </w:r>
    </w:p>
    <w:p>
      <w:pPr>
        <w:spacing w:after="200" w:line="276" w:lineRule="auto"/>
        <w:jc w:val="both"/>
        <w:rPr>
          <w:rFonts w:ascii="Calibri" w:hAnsi="Calibri" w:eastAsia="Calibri" w:cs="Times New Roman"/>
          <w:lang w:val="pl-PL" w:eastAsia="ru-RU"/>
        </w:rPr>
      </w:pPr>
      <w:r>
        <w:rPr>
          <w:rFonts w:ascii="Calibri" w:hAnsi="Calibri" w:eastAsia="Calibri" w:cs="Times New Roman"/>
          <w:lang w:eastAsia="ru-RU"/>
        </w:rPr>
        <w:drawing>
          <wp:inline distT="0" distB="0" distL="0" distR="0">
            <wp:extent cx="5257165" cy="26301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6" cstate="print"/>
                    <a:srcRect l="12825" t="22609" r="44154" b="26376"/>
                    <a:stretch>
                      <a:fillRect/>
                    </a:stretch>
                  </pic:blipFill>
                  <pic:spPr>
                    <a:xfrm>
                      <a:off x="0" y="0"/>
                      <a:ext cx="5255895" cy="2629444"/>
                    </a:xfrm>
                    <a:prstGeom prst="rect">
                      <a:avLst/>
                    </a:prstGeom>
                    <a:noFill/>
                    <a:ln w="9525">
                      <a:noFill/>
                      <a:miter lim="800000"/>
                      <a:headEnd/>
                      <a:tailEnd/>
                    </a:ln>
                  </pic:spPr>
                </pic:pic>
              </a:graphicData>
            </a:graphic>
          </wp:inline>
        </w:drawing>
      </w:r>
    </w:p>
    <w:p>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Рис.1. Номограмма потребности в вагонах в зависимости от осадки и загрузки судна 507 проекта.</w:t>
      </w:r>
    </w:p>
    <w:p>
      <w:pPr>
        <w:spacing w:after="0" w:line="276" w:lineRule="auto"/>
        <w:jc w:val="center"/>
        <w:rPr>
          <w:rFonts w:ascii="Times New Roman" w:hAnsi="Times New Roman" w:eastAsia="Calibri" w:cs="Times New Roman"/>
          <w:sz w:val="28"/>
          <w:szCs w:val="28"/>
        </w:rPr>
      </w:pPr>
    </w:p>
    <w:p>
      <w:pPr>
        <w:spacing w:after="0" w:line="276"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Таким образом, методика позволяет диспетчеру движения оперативно определить потребности в количестве грузовых вагонов для загрузки подошедшего судна или прогнозировать этот процесс на уровне 2-3 часов. С другой стороны, запрещение Регистра на выход конкретного судна в сложившихся условиях позволяет диспетчеру за  4-5 часов сократить число  </w:t>
      </w:r>
    </w:p>
    <w:p>
      <w:pPr>
        <w:spacing w:after="0" w:line="276"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подаваемых под разгрузку вагонов на причал или сменит судно (Рис. 2).  </w:t>
      </w:r>
    </w:p>
    <w:p>
      <w:pPr>
        <w:spacing w:after="200" w:line="276" w:lineRule="auto"/>
        <w:rPr>
          <w:rFonts w:ascii="Times New Roman" w:hAnsi="Times New Roman" w:eastAsia="Calibri" w:cs="Times New Roman"/>
          <w:sz w:val="28"/>
          <w:szCs w:val="28"/>
        </w:rPr>
      </w:pPr>
    </w:p>
    <w:p>
      <w:pPr>
        <w:spacing w:after="200" w:line="276"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Загрузка</w:t>
      </w:r>
    </w:p>
    <w:p>
      <w:pPr>
        <w:spacing w:after="200" w:line="276" w:lineRule="auto"/>
        <w:rPr>
          <w:rFonts w:ascii="Times New Roman" w:hAnsi="Times New Roman" w:eastAsia="Calibri" w:cs="Times New Roman"/>
          <w:sz w:val="28"/>
          <w:szCs w:val="28"/>
        </w:rPr>
      </w:pPr>
      <w:r>
        <w:rPr>
          <w:rFonts w:ascii="Calibri" w:hAnsi="Calibri" w:eastAsia="Calibri" w:cs="Times New Roman"/>
          <w:lang w:eastAsia="ru-RU"/>
        </w:rPr>
        <w:drawing>
          <wp:inline distT="0" distB="0" distL="0" distR="0">
            <wp:extent cx="4867275" cy="303403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7" cstate="print"/>
                    <a:srcRect l="18591" t="35918" r="45512" b="21323"/>
                    <a:stretch>
                      <a:fillRect/>
                    </a:stretch>
                  </pic:blipFill>
                  <pic:spPr>
                    <a:xfrm>
                      <a:off x="0" y="0"/>
                      <a:ext cx="4866005" cy="3033208"/>
                    </a:xfrm>
                    <a:prstGeom prst="rect">
                      <a:avLst/>
                    </a:prstGeom>
                    <a:noFill/>
                    <a:ln w="9525">
                      <a:noFill/>
                      <a:miter lim="800000"/>
                      <a:headEnd/>
                      <a:tailEnd/>
                    </a:ln>
                  </pic:spPr>
                </pic:pic>
              </a:graphicData>
            </a:graphic>
          </wp:inline>
        </w:drawing>
      </w:r>
    </w:p>
    <w:p>
      <w:pPr>
        <w:spacing w:after="0" w:line="276" w:lineRule="auto"/>
        <w:jc w:val="center"/>
        <w:rPr>
          <w:rFonts w:ascii="Times New Roman" w:hAnsi="Times New Roman" w:eastAsia="Calibri" w:cs="Times New Roman"/>
          <w:sz w:val="28"/>
          <w:szCs w:val="28"/>
        </w:rPr>
      </w:pPr>
      <w:r>
        <w:rPr>
          <w:rFonts w:ascii="Times New Roman" w:hAnsi="Times New Roman" w:eastAsia="Times New Roman" w:cs="Times New Roman"/>
          <w:sz w:val="28"/>
          <w:szCs w:val="28"/>
        </w:rPr>
        <w:t>Рис.1. Номограмма потребности в вагонах в зависимости от осадки и загрузки судна 537 проекта.</w:t>
      </w:r>
    </w:p>
    <w:p>
      <w:pPr>
        <w:spacing w:after="200" w:line="276" w:lineRule="auto"/>
        <w:rPr>
          <w:rFonts w:ascii="Times New Roman" w:hAnsi="Times New Roman" w:eastAsia="Calibri" w:cs="Times New Roman"/>
          <w:sz w:val="28"/>
          <w:szCs w:val="28"/>
        </w:rPr>
      </w:pPr>
    </w:p>
    <w:p>
      <w:pPr>
        <w:spacing w:after="0" w:line="276" w:lineRule="auto"/>
        <w:rPr>
          <w:rFonts w:ascii="Times New Roman" w:hAnsi="Times New Roman" w:eastAsia="Calibri" w:cs="Times New Roman"/>
          <w:b/>
          <w:sz w:val="28"/>
          <w:szCs w:val="28"/>
        </w:rPr>
      </w:pPr>
      <w:r>
        <w:rPr>
          <w:rFonts w:ascii="Times New Roman" w:hAnsi="Times New Roman" w:eastAsia="Calibri" w:cs="Times New Roman"/>
          <w:b/>
          <w:sz w:val="28"/>
          <w:szCs w:val="28"/>
        </w:rPr>
        <w:t>Выводы</w:t>
      </w:r>
    </w:p>
    <w:p>
      <w:pPr>
        <w:spacing w:after="0" w:line="276"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 мультимодальном процессе судно – вагон,  который реализуется в портах, оперативная информация о состоянии водного пути играет центральную роль. На основании этой информации диспетчер движения принимает решение об объёмах грузов перевалки, типе судна, количесве необходимых вагонов в условиях ограниченного времени. От его решения зависит вся организация погрузочно-разгрузочных работ на конкретном причале по оптимальному варианту: минимизация времени, максимизация отправляемого груза, минимизация затрату. Эту задач решает предложенная выше методика расчёта загрузки судна в порту по варианту «вагон-судно». </w:t>
      </w:r>
    </w:p>
    <w:p>
      <w:pPr>
        <w:spacing w:after="0" w:line="276" w:lineRule="auto"/>
        <w:rPr>
          <w:rFonts w:ascii="Times New Roman" w:hAnsi="Times New Roman" w:eastAsia="Calibri" w:cs="Times New Roman"/>
          <w:b/>
          <w:sz w:val="28"/>
          <w:szCs w:val="28"/>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p>
      <w:pPr>
        <w:numPr>
          <w:ilvl w:val="0"/>
          <w:numId w:val="2"/>
        </w:numPr>
        <w:spacing w:after="0" w:line="276" w:lineRule="auto"/>
        <w:ind w:left="0" w:firstLine="0"/>
        <w:contextualSpacing/>
        <w:rPr>
          <w:rFonts w:ascii="Times New Roman" w:hAnsi="Times New Roman" w:eastAsia="Calibri" w:cs="Times New Roman"/>
          <w:sz w:val="28"/>
          <w:szCs w:val="28"/>
        </w:rPr>
      </w:pPr>
      <w:r>
        <w:rPr>
          <w:rFonts w:ascii="Times New Roman" w:hAnsi="Times New Roman" w:eastAsia="Calibri" w:cs="Times New Roman"/>
          <w:sz w:val="28"/>
          <w:szCs w:val="28"/>
        </w:rPr>
        <w:t>Арефьев И.Б., Коровяковский Е.К. Анализ и моделирование транспортных узлов. Изд –во «ЮПИ», СПБ, 2019. 216 с.</w:t>
      </w:r>
    </w:p>
    <w:p>
      <w:pPr>
        <w:numPr>
          <w:ilvl w:val="0"/>
          <w:numId w:val="2"/>
        </w:numPr>
        <w:spacing w:after="0" w:line="276" w:lineRule="auto"/>
        <w:ind w:left="0" w:firstLine="0"/>
        <w:rPr>
          <w:rFonts w:ascii="Times New Roman" w:hAnsi="Times New Roman" w:eastAsia="Calibri" w:cs="Times New Roman"/>
          <w:sz w:val="28"/>
          <w:szCs w:val="28"/>
        </w:rPr>
      </w:pPr>
      <w:r>
        <w:rPr>
          <w:rFonts w:ascii="Times New Roman" w:hAnsi="Times New Roman" w:eastAsia="Calibri" w:cs="Times New Roman"/>
          <w:sz w:val="28"/>
          <w:szCs w:val="28"/>
          <w:lang w:val="en-US"/>
        </w:rPr>
        <w:t xml:space="preserve">Arefyev I. </w:t>
      </w:r>
      <w:r>
        <w:rPr>
          <w:rFonts w:ascii="Times New Roman" w:hAnsi="Times New Roman" w:eastAsia="Calibri" w:cs="Times New Roman"/>
          <w:bCs/>
          <w:sz w:val="28"/>
          <w:szCs w:val="28"/>
          <w:lang w:val="en-US"/>
        </w:rPr>
        <w:t xml:space="preserve">Forecasting and control object of management in the environment of system pert (the method of integrated characteristics). </w:t>
      </w:r>
      <w:r>
        <w:rPr>
          <w:rFonts w:ascii="Times New Roman" w:hAnsi="Times New Roman" w:eastAsia="Calibri" w:cs="Times New Roman"/>
          <w:sz w:val="28"/>
          <w:szCs w:val="28"/>
        </w:rPr>
        <w:t>Maritime University, Szczecin., Biblioteka cyfrowa., 2012. 293p</w:t>
      </w:r>
    </w:p>
    <w:p>
      <w:pPr>
        <w:numPr>
          <w:ilvl w:val="0"/>
          <w:numId w:val="2"/>
        </w:numPr>
        <w:spacing w:after="0" w:line="276" w:lineRule="auto"/>
        <w:ind w:left="0" w:firstLine="0"/>
        <w:rPr>
          <w:rFonts w:ascii="Times New Roman" w:hAnsi="Times New Roman" w:eastAsia="Calibri" w:cs="Times New Roman"/>
          <w:sz w:val="28"/>
          <w:szCs w:val="28"/>
        </w:rPr>
      </w:pPr>
      <w:r>
        <w:rPr>
          <w:rFonts w:ascii="Times New Roman" w:hAnsi="Times New Roman" w:eastAsia="Calibri" w:cs="Times New Roman"/>
          <w:sz w:val="28"/>
          <w:szCs w:val="28"/>
          <w:lang w:val="pl-PL"/>
        </w:rPr>
        <w:t xml:space="preserve">Dobriakova L., Pelczar M. Elementy teorii systemów w zadaniach. </w:t>
      </w:r>
      <w:r>
        <w:rPr>
          <w:rFonts w:ascii="Times New Roman" w:hAnsi="Times New Roman" w:eastAsia="Calibri" w:cs="Times New Roman"/>
          <w:sz w:val="28"/>
          <w:szCs w:val="28"/>
        </w:rPr>
        <w:t>ZUT. Szczecin. 2009.</w:t>
      </w:r>
    </w:p>
    <w:p>
      <w:r>
        <w:br w:type="page"/>
      </w:r>
    </w:p>
    <w:p>
      <w:pPr>
        <w:spacing w:after="0" w:line="360" w:lineRule="auto"/>
        <w:contextualSpacing/>
        <w:jc w:val="right"/>
        <w:rPr>
          <w:rFonts w:ascii="Times New Roman" w:hAnsi="Times New Roman" w:eastAsia="Calibri" w:cs="Times New Roman"/>
          <w:sz w:val="28"/>
          <w:szCs w:val="28"/>
        </w:rPr>
      </w:pPr>
      <w:r>
        <w:rPr>
          <w:rFonts w:ascii="Times New Roman" w:hAnsi="Times New Roman" w:eastAsia="Calibri" w:cs="Times New Roman"/>
          <w:b/>
          <w:sz w:val="28"/>
          <w:szCs w:val="28"/>
        </w:rPr>
        <w:t>Н.Г.</w:t>
      </w:r>
      <w:r>
        <w:rPr>
          <w:rFonts w:ascii="Times New Roman" w:hAnsi="Times New Roman" w:eastAsia="Calibri" w:cs="Times New Roman"/>
          <w:sz w:val="28"/>
          <w:szCs w:val="28"/>
        </w:rPr>
        <w:t xml:space="preserve"> </w:t>
      </w:r>
      <w:r>
        <w:rPr>
          <w:rFonts w:ascii="Times New Roman" w:hAnsi="Times New Roman" w:eastAsia="Calibri" w:cs="Times New Roman"/>
          <w:b/>
          <w:sz w:val="28"/>
          <w:szCs w:val="28"/>
        </w:rPr>
        <w:t xml:space="preserve">Кобозева </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Петербургский государственный университет</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 путей сообщения Императора Александра I,</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Старший преподаватель кафедры</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 «Логистика и коммерческая работа» </w:t>
      </w:r>
    </w:p>
    <w:p>
      <w:pPr>
        <w:spacing w:after="0" w:line="360" w:lineRule="auto"/>
        <w:rPr>
          <w:rFonts w:ascii="Times New Roman" w:hAnsi="Times New Roman" w:eastAsia="Calibri" w:cs="Times New Roman"/>
          <w:sz w:val="28"/>
          <w:szCs w:val="28"/>
        </w:rPr>
      </w:pPr>
    </w:p>
    <w:bookmarkEnd w:id="0"/>
    <w:p>
      <w:pPr>
        <w:pStyle w:val="2"/>
        <w:spacing w:before="0"/>
        <w:jc w:val="center"/>
        <w:rPr>
          <w:rFonts w:ascii="Times New Roman" w:hAnsi="Times New Roman"/>
          <w:b/>
          <w:caps/>
          <w:sz w:val="28"/>
          <w:szCs w:val="28"/>
          <w:lang w:eastAsia="ru-RU"/>
        </w:rPr>
      </w:pPr>
      <w:bookmarkStart w:id="2" w:name="_Toc37266315"/>
      <w:r>
        <w:rPr>
          <w:rFonts w:ascii="Times New Roman" w:hAnsi="Times New Roman"/>
          <w:b/>
          <w:caps/>
          <w:color w:val="auto"/>
          <w:sz w:val="28"/>
          <w:szCs w:val="28"/>
          <w:lang w:eastAsia="ru-RU"/>
        </w:rPr>
        <w:t>Критерии качества организации перевозочного процесса в части грузовых перевозок в современных  условиях.</w:t>
      </w:r>
      <w:bookmarkEnd w:id="2"/>
    </w:p>
    <w:p>
      <w:pPr>
        <w:spacing w:after="0" w:line="360" w:lineRule="auto"/>
        <w:contextualSpacing/>
        <w:rPr>
          <w:rFonts w:ascii="Times New Roman" w:hAnsi="Times New Roman" w:eastAsia="Calibri" w:cs="Times New Roman"/>
          <w:sz w:val="28"/>
          <w:szCs w:val="28"/>
        </w:rPr>
      </w:pP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Аннотация: </w:t>
      </w:r>
      <w:r>
        <w:rPr>
          <w:rFonts w:ascii="Times New Roman" w:hAnsi="Times New Roman" w:eastAsia="Times New Roman" w:cs="Times New Roman"/>
          <w:sz w:val="28"/>
          <w:szCs w:val="28"/>
          <w:lang w:eastAsia="ru-RU"/>
        </w:rPr>
        <w:t>Повышение эффективности работы железнодорожного транспорта может производиться по различным направлениям. Для анализа результатов работы необходимы общепринятые, максимально объективно отображающие результат работы показатели. Необходимы изменения в правовых, технологических и нормативных условиях работы.</w:t>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b/>
          <w:sz w:val="28"/>
          <w:szCs w:val="28"/>
        </w:rPr>
        <w:t xml:space="preserve">Ключевые слова: </w:t>
      </w:r>
      <w:r>
        <w:rPr>
          <w:rFonts w:ascii="Times New Roman" w:hAnsi="Times New Roman" w:eastAsia="Calibri" w:cs="Times New Roman"/>
          <w:sz w:val="28"/>
          <w:szCs w:val="28"/>
        </w:rPr>
        <w:t>Железнодорожный транспорт, подвижной состав, показатели эффективности, оборот вагона, порожний пробег, приватный парк.</w:t>
      </w:r>
    </w:p>
    <w:p>
      <w:pPr>
        <w:spacing w:after="0" w:line="360" w:lineRule="auto"/>
        <w:jc w:val="both"/>
        <w:rPr>
          <w:rFonts w:ascii="Times New Roman" w:hAnsi="Times New Roman" w:eastAsia="Calibri" w:cs="Times New Roman"/>
          <w:sz w:val="28"/>
          <w:szCs w:val="28"/>
        </w:rPr>
      </w:pPr>
    </w:p>
    <w:p>
      <w:pPr>
        <w:spacing w:after="0" w:line="36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Ключевым моментом в организации перевозочного процесса на железнодорожном транспорте является эффективность. Перевозочный процесс представляет собой сложную логистическую систему, в которой работа каждого составляющего элемента должна быть максимально отлажена и оптимизирована. Одним из основных частей, наряду с инфраструктурой, обеспечивающих работу системы является подвижной состав. Эффективное использование этих двух составляющих и представляет собой базу для стратегического развития железнодорожного транспорта. Более подробно рассмотрим вопросы эксплуатации железнодорожного подвижного состава и проанализируем показатели его использования.</w:t>
      </w:r>
    </w:p>
    <w:p>
      <w:pPr>
        <w:tabs>
          <w:tab w:val="left" w:pos="567"/>
          <w:tab w:val="left" w:pos="8789"/>
        </w:tabs>
        <w:spacing w:after="0" w:line="360" w:lineRule="auto"/>
        <w:contextualSpacing/>
        <w:jc w:val="both"/>
        <w:rPr>
          <w:rFonts w:ascii="Times New Roman" w:hAnsi="Times New Roman" w:eastAsia="Times New Roman" w:cs="Times New Roman"/>
          <w:color w:val="333333"/>
          <w:sz w:val="28"/>
          <w:szCs w:val="28"/>
          <w:lang w:eastAsia="ru-RU"/>
        </w:rPr>
      </w:pPr>
      <w:r>
        <w:rPr>
          <w:rFonts w:ascii="Times New Roman" w:hAnsi="Times New Roman" w:eastAsia="Times New Roman" w:cs="Times New Roman"/>
          <w:sz w:val="28"/>
          <w:szCs w:val="28"/>
          <w:lang w:eastAsia="ru-RU"/>
        </w:rPr>
        <w:t>Еще в конце 90-х годов прошлого века Министерство Путей Сообщения всеми путями пыталось решить проблему дефицита вагонного парка на сети дорог страны. За время реформ на транспорте (железнодорожном) сформировались определённые конкурентные условия. В связи с этим  необходимы изменения в организации перевозочн</w:t>
      </w:r>
      <w:r>
        <w:rPr>
          <w:rFonts w:ascii="Times New Roman" w:hAnsi="Times New Roman" w:eastAsia="Times New Roman" w:cs="Times New Roman"/>
          <w:color w:val="222222"/>
          <w:sz w:val="28"/>
          <w:szCs w:val="28"/>
          <w:lang w:eastAsia="ru-RU"/>
        </w:rPr>
        <w:t>ого процесса, которые должны затронуть, в том числе, и процессы регулирования вагонного парка.  А это невозможно осуществить без внесения изменений в правовые, технологические и нормативные</w:t>
      </w:r>
      <w:r>
        <w:rPr>
          <w:rFonts w:ascii="Times New Roman" w:hAnsi="Times New Roman" w:eastAsia="Times New Roman" w:cs="Times New Roman"/>
          <w:color w:val="333333"/>
          <w:sz w:val="28"/>
          <w:szCs w:val="28"/>
          <w:lang w:eastAsia="ru-RU"/>
        </w:rPr>
        <w:t xml:space="preserve"> условия работы. До начала реформирования и по настоящее время в системе технического нормирования ОАО «РЖД» практически не изменились показатели оценки качества перевозочного процесса, которые касаются грузовых перевозок. Как и прежде, комплексным показателем качества работы на железной дороге является обо</w:t>
      </w:r>
      <w:r>
        <w:rPr>
          <w:rFonts w:ascii="Times New Roman" w:hAnsi="Times New Roman" w:eastAsia="Times New Roman" w:cs="Times New Roman"/>
          <w:color w:val="333333"/>
          <w:sz w:val="28"/>
          <w:szCs w:val="28"/>
          <w:lang w:val="en-US" w:eastAsia="ru-RU"/>
        </w:rPr>
        <w:t>p</w:t>
      </w:r>
      <w:r>
        <w:rPr>
          <w:rFonts w:ascii="Times New Roman" w:hAnsi="Times New Roman" w:eastAsia="Times New Roman" w:cs="Times New Roman"/>
          <w:color w:val="333333"/>
          <w:sz w:val="28"/>
          <w:szCs w:val="28"/>
          <w:lang w:eastAsia="ru-RU"/>
        </w:rPr>
        <w:t xml:space="preserve">от вагона. Важнейшим элементом </w:t>
      </w:r>
      <w:r>
        <w:rPr>
          <w:rFonts w:ascii="Times New Roman" w:hAnsi="Times New Roman" w:eastAsia="Times New Roman" w:cs="Times New Roman"/>
          <w:color w:val="333333"/>
          <w:sz w:val="28"/>
          <w:szCs w:val="28"/>
          <w:lang w:val="en-US" w:eastAsia="ru-RU"/>
        </w:rPr>
        <w:t>pa</w:t>
      </w:r>
      <w:r>
        <w:rPr>
          <w:rFonts w:ascii="Times New Roman" w:hAnsi="Times New Roman" w:eastAsia="Times New Roman" w:cs="Times New Roman"/>
          <w:color w:val="333333"/>
          <w:sz w:val="28"/>
          <w:szCs w:val="28"/>
          <w:lang w:eastAsia="ru-RU"/>
        </w:rPr>
        <w:t>счета его значения  является  полный рейс в</w:t>
      </w:r>
      <w:r>
        <w:rPr>
          <w:rFonts w:ascii="Times New Roman" w:hAnsi="Times New Roman" w:eastAsia="Times New Roman" w:cs="Times New Roman"/>
          <w:color w:val="333333"/>
          <w:sz w:val="28"/>
          <w:szCs w:val="28"/>
          <w:lang w:val="en-US" w:eastAsia="ru-RU"/>
        </w:rPr>
        <w:t>a</w:t>
      </w:r>
      <w:r>
        <w:rPr>
          <w:rFonts w:ascii="Times New Roman" w:hAnsi="Times New Roman" w:eastAsia="Times New Roman" w:cs="Times New Roman"/>
          <w:color w:val="333333"/>
          <w:sz w:val="28"/>
          <w:szCs w:val="28"/>
          <w:lang w:eastAsia="ru-RU"/>
        </w:rPr>
        <w:t>гона, который составляет  т</w:t>
      </w:r>
      <w:r>
        <w:rPr>
          <w:rFonts w:ascii="Times New Roman" w:hAnsi="Times New Roman" w:eastAsia="Times New Roman" w:cs="Times New Roman"/>
          <w:color w:val="333333"/>
          <w:sz w:val="28"/>
          <w:szCs w:val="28"/>
          <w:lang w:val="en-US" w:eastAsia="ru-RU"/>
        </w:rPr>
        <w:t>p</w:t>
      </w:r>
      <w:r>
        <w:rPr>
          <w:rFonts w:ascii="Times New Roman" w:hAnsi="Times New Roman" w:eastAsia="Times New Roman" w:cs="Times New Roman"/>
          <w:color w:val="333333"/>
          <w:sz w:val="28"/>
          <w:szCs w:val="28"/>
          <w:lang w:eastAsia="ru-RU"/>
        </w:rPr>
        <w:t>и четверти  его значения. Однако полный рейс в</w:t>
      </w:r>
      <w:r>
        <w:rPr>
          <w:rFonts w:ascii="Times New Roman" w:hAnsi="Times New Roman" w:eastAsia="Times New Roman" w:cs="Times New Roman"/>
          <w:color w:val="333333"/>
          <w:sz w:val="28"/>
          <w:szCs w:val="28"/>
          <w:lang w:val="en-US" w:eastAsia="ru-RU"/>
        </w:rPr>
        <w:t>a</w:t>
      </w:r>
      <w:r>
        <w:rPr>
          <w:rFonts w:ascii="Times New Roman" w:hAnsi="Times New Roman" w:eastAsia="Times New Roman" w:cs="Times New Roman"/>
          <w:color w:val="333333"/>
          <w:sz w:val="28"/>
          <w:szCs w:val="28"/>
          <w:lang w:eastAsia="ru-RU"/>
        </w:rPr>
        <w:t>гона (его г</w:t>
      </w:r>
      <w:r>
        <w:rPr>
          <w:rFonts w:ascii="Times New Roman" w:hAnsi="Times New Roman" w:eastAsia="Times New Roman" w:cs="Times New Roman"/>
          <w:color w:val="333333"/>
          <w:sz w:val="28"/>
          <w:szCs w:val="28"/>
          <w:lang w:val="en-US" w:eastAsia="ru-RU"/>
        </w:rPr>
        <w:t>p</w:t>
      </w:r>
      <w:r>
        <w:rPr>
          <w:rFonts w:ascii="Times New Roman" w:hAnsi="Times New Roman" w:eastAsia="Times New Roman" w:cs="Times New Roman"/>
          <w:color w:val="333333"/>
          <w:sz w:val="28"/>
          <w:szCs w:val="28"/>
          <w:lang w:eastAsia="ru-RU"/>
        </w:rPr>
        <w:t>ужен</w:t>
      </w:r>
      <w:r>
        <w:rPr>
          <w:rFonts w:ascii="Times New Roman" w:hAnsi="Times New Roman" w:eastAsia="Times New Roman" w:cs="Times New Roman"/>
          <w:color w:val="333333"/>
          <w:sz w:val="28"/>
          <w:szCs w:val="28"/>
          <w:lang w:val="en-US" w:eastAsia="ru-RU"/>
        </w:rPr>
        <w:t>a</w:t>
      </w:r>
      <w:r>
        <w:rPr>
          <w:rFonts w:ascii="Times New Roman" w:hAnsi="Times New Roman" w:eastAsia="Times New Roman" w:cs="Times New Roman"/>
          <w:color w:val="333333"/>
          <w:sz w:val="28"/>
          <w:szCs w:val="28"/>
          <w:lang w:eastAsia="ru-RU"/>
        </w:rPr>
        <w:t>я и порожняя составляющие) сегодня полностью определяются операторами подвижного состав</w:t>
      </w:r>
      <w:r>
        <w:rPr>
          <w:rFonts w:ascii="Times New Roman" w:hAnsi="Times New Roman" w:eastAsia="Times New Roman" w:cs="Times New Roman"/>
          <w:color w:val="333333"/>
          <w:sz w:val="28"/>
          <w:szCs w:val="28"/>
          <w:lang w:val="en-US" w:eastAsia="ru-RU"/>
        </w:rPr>
        <w:t>a</w:t>
      </w:r>
      <w:r>
        <w:rPr>
          <w:rFonts w:ascii="Times New Roman" w:hAnsi="Times New Roman" w:eastAsia="Times New Roman" w:cs="Times New Roman"/>
          <w:color w:val="333333"/>
          <w:sz w:val="28"/>
          <w:szCs w:val="28"/>
          <w:lang w:eastAsia="ru-RU"/>
        </w:rPr>
        <w:t>, но не ОАО «РЖД». Опер</w:t>
      </w:r>
      <w:r>
        <w:rPr>
          <w:rFonts w:ascii="Times New Roman" w:hAnsi="Times New Roman" w:eastAsia="Times New Roman" w:cs="Times New Roman"/>
          <w:color w:val="333333"/>
          <w:sz w:val="28"/>
          <w:szCs w:val="28"/>
          <w:lang w:val="en-US" w:eastAsia="ru-RU"/>
        </w:rPr>
        <w:t>a</w:t>
      </w:r>
      <w:r>
        <w:rPr>
          <w:rFonts w:ascii="Times New Roman" w:hAnsi="Times New Roman" w:eastAsia="Times New Roman" w:cs="Times New Roman"/>
          <w:color w:val="333333"/>
          <w:sz w:val="28"/>
          <w:szCs w:val="28"/>
          <w:lang w:eastAsia="ru-RU"/>
        </w:rPr>
        <w:t>торами определяется и время простоя в</w:t>
      </w:r>
      <w:r>
        <w:rPr>
          <w:rFonts w:ascii="Times New Roman" w:hAnsi="Times New Roman" w:eastAsia="Times New Roman" w:cs="Times New Roman"/>
          <w:color w:val="333333"/>
          <w:sz w:val="28"/>
          <w:szCs w:val="28"/>
          <w:lang w:val="en-US" w:eastAsia="ru-RU"/>
        </w:rPr>
        <w:t>a</w:t>
      </w:r>
      <w:r>
        <w:rPr>
          <w:rFonts w:ascii="Times New Roman" w:hAnsi="Times New Roman" w:eastAsia="Times New Roman" w:cs="Times New Roman"/>
          <w:color w:val="333333"/>
          <w:sz w:val="28"/>
          <w:szCs w:val="28"/>
          <w:lang w:eastAsia="ru-RU"/>
        </w:rPr>
        <w:t>гонов в порожнем состоянии на станциях после выгрузки в ожидании выполнения очередного рейса.</w:t>
      </w:r>
    </w:p>
    <w:p>
      <w:pPr>
        <w:tabs>
          <w:tab w:val="left" w:pos="567"/>
          <w:tab w:val="left" w:pos="8789"/>
        </w:tabs>
        <w:spacing w:after="0" w:line="360" w:lineRule="auto"/>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222222"/>
          <w:sz w:val="28"/>
          <w:szCs w:val="28"/>
          <w:lang w:eastAsia="ru-RU"/>
        </w:rPr>
        <w:t xml:space="preserve">По данным академика РАТ, д.т.н., профессора ПГУПС Владимира Кудрявцева: «Оборот вагона достиг своего минимального показателя в 1965 году: 5,23 суток. В это время в США он составлял 26 суток» [2]. Согласно данным пономерного учета подвижного состава ВНИИАСа в настоящее время показатели оборота вагона у ОАО «РЖД» – 15 суток, у операторских компаний – 18 суток. Таким образом, эффективность работы подвижного состава инвентарного парка выше, чем приватного. Коэффициенты порожнего пробега во времена СССР были также очень низкими: в 1988 году у полувагона МПС он составлял 27%. У ОАО «РЖД» в 2006-м – 42%, а в настоящее время - 40,4% (по итогам 2017г.) [3]. </w:t>
      </w:r>
    </w:p>
    <w:p>
      <w:pPr>
        <w:tabs>
          <w:tab w:val="left" w:pos="567"/>
          <w:tab w:val="left" w:pos="8789"/>
        </w:tabs>
        <w:spacing w:after="0" w:line="360" w:lineRule="auto"/>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222222"/>
          <w:sz w:val="28"/>
          <w:szCs w:val="28"/>
          <w:lang w:eastAsia="ru-RU"/>
        </w:rPr>
        <w:t xml:space="preserve">Однако по настоящее время ОАО «РЖД» в своей работе ориентируется на показатели, основным из которых является оборот вагона. Но современные условия диктуют новые правила. Для более полного анализа показателей качества использования железнодорожного подвижного состава составлена сводная таблица (таблица 1) [ 4, 5, 6,7, 8, 1, 9]. В которой представлены все используемые и предлагаемые к использованию показатели эффективности использования железнодорожного подвижного состава с учетом и без учета работы  в современных условиях. </w:t>
      </w:r>
    </w:p>
    <w:p>
      <w:pPr>
        <w:tabs>
          <w:tab w:val="left" w:pos="567"/>
          <w:tab w:val="left" w:pos="8789"/>
        </w:tabs>
        <w:spacing w:after="0" w:line="360" w:lineRule="auto"/>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222222"/>
          <w:sz w:val="28"/>
          <w:szCs w:val="28"/>
          <w:lang w:eastAsia="ru-RU"/>
        </w:rPr>
        <w:t xml:space="preserve">Если говорить об операторах подвижного состава, то одним из показателей эффективности работы операторской компании является отношение величины порожнего пробега вагона к общему пробегу за отчетный период. Чем ниже процент порожних рейсов, тем больше грузов перевезено одной единицей подвижного состава. </w:t>
      </w:r>
    </w:p>
    <w:p>
      <w:pPr>
        <w:tabs>
          <w:tab w:val="left" w:pos="567"/>
          <w:tab w:val="left" w:pos="8789"/>
        </w:tabs>
        <w:spacing w:after="0" w:line="360" w:lineRule="auto"/>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222222"/>
          <w:sz w:val="28"/>
          <w:szCs w:val="28"/>
          <w:lang w:eastAsia="ru-RU"/>
        </w:rPr>
        <w:t xml:space="preserve">Это высказывание верно, когда в обороте вагона время, затраченное на начально-конечные операции, значительно меньше времени нахождения его в пути. Из чего следует, что повышение доходности при перевозках на значительные расстояния невозможно без обратной загрузки вагонов. При коротком плече пробега вагона улучшение экономики операторов зависит в основном от сокращения простоев при погрузке/выгрузке, то есть оборачиваемости вагона. </w:t>
      </w:r>
    </w:p>
    <w:p>
      <w:pPr>
        <w:tabs>
          <w:tab w:val="left" w:pos="567"/>
          <w:tab w:val="left" w:pos="8789"/>
        </w:tabs>
        <w:spacing w:after="0" w:line="360" w:lineRule="auto"/>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222222"/>
          <w:sz w:val="28"/>
          <w:szCs w:val="28"/>
          <w:lang w:eastAsia="ru-RU"/>
        </w:rPr>
        <w:t>Можно говорить о двух способах повышения эффективности использования приватных, то есть собственных вагонов. Первый обычно применяют при использовании специализированного парка, при этом с</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бственник ваг</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на д</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бавляет св</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и расх</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 xml:space="preserve">ды на </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бновление, с</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держание п</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движного с</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става и аппарата управления к тарифу за груженый и п</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р</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жний рейс, и эта сумма выставляется клиенту. Вт</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рой сп</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с</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б раб</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тает при перевозке в универсальных ваг</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нах. Операт</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р старается вписать эти расх</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ды в ваг</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нную с</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ставляющую, и д</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х</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дность для нег</w:t>
      </w:r>
      <w:r>
        <w:rPr>
          <w:rFonts w:ascii="Times New Roman" w:hAnsi="Times New Roman" w:eastAsia="Times New Roman" w:cs="Times New Roman"/>
          <w:color w:val="222222"/>
          <w:sz w:val="28"/>
          <w:szCs w:val="28"/>
          <w:lang w:val="en-US" w:eastAsia="ru-RU"/>
        </w:rPr>
        <w:t>o</w:t>
      </w:r>
      <w:r>
        <w:rPr>
          <w:rFonts w:ascii="Times New Roman" w:hAnsi="Times New Roman" w:eastAsia="Times New Roman" w:cs="Times New Roman"/>
          <w:color w:val="222222"/>
          <w:sz w:val="28"/>
          <w:szCs w:val="28"/>
          <w:lang w:eastAsia="ru-RU"/>
        </w:rPr>
        <w:t xml:space="preserve"> тем больше, чем выше стоимость груза и шире возможность снизить порожний пробег вагонов, загрузив их попутным грузом. </w:t>
      </w:r>
    </w:p>
    <w:p>
      <w:pPr>
        <w:spacing w:after="0" w:line="360" w:lineRule="auto"/>
        <w:contextualSpacing/>
        <w:jc w:val="both"/>
        <w:rPr>
          <w:rFonts w:ascii="Times New Roman" w:hAnsi="Times New Roman" w:eastAsia="Times New Roman" w:cs="Times New Roman"/>
          <w:color w:val="222222"/>
          <w:sz w:val="28"/>
          <w:szCs w:val="28"/>
          <w:lang w:eastAsia="ru-RU"/>
        </w:rPr>
      </w:pPr>
    </w:p>
    <w:p>
      <w:pPr>
        <w:spacing w:after="0" w:line="360" w:lineRule="auto"/>
        <w:contextualSpacing/>
        <w:rPr>
          <w:rFonts w:ascii="Times New Roman" w:hAnsi="Times New Roman" w:eastAsia="Calibri" w:cs="Times New Roman"/>
          <w:b/>
          <w:sz w:val="28"/>
          <w:szCs w:val="28"/>
        </w:rPr>
        <w:sectPr>
          <w:pgSz w:w="11906" w:h="16838"/>
          <w:pgMar w:top="1418" w:right="1418" w:bottom="1418" w:left="1418" w:header="708" w:footer="708" w:gutter="0"/>
          <w:cols w:space="708" w:num="1"/>
          <w:docGrid w:linePitch="360" w:charSpace="0"/>
        </w:sectPr>
      </w:pPr>
    </w:p>
    <w:p>
      <w:pPr>
        <w:tabs>
          <w:tab w:val="left" w:pos="1453"/>
          <w:tab w:val="center" w:pos="7285"/>
        </w:tabs>
        <w:spacing w:after="0" w:line="360" w:lineRule="auto"/>
        <w:contextualSpacing/>
        <w:rPr>
          <w:rFonts w:ascii="Times New Roman" w:hAnsi="Times New Roman" w:eastAsia="Calibri" w:cs="Times New Roman"/>
          <w:b/>
          <w:sz w:val="28"/>
          <w:szCs w:val="28"/>
        </w:rPr>
      </w:pPr>
      <w:r>
        <w:rPr>
          <w:rFonts w:ascii="Times New Roman" w:hAnsi="Times New Roman" w:eastAsia="Calibri" w:cs="Times New Roman"/>
          <w:b/>
          <w:sz w:val="28"/>
          <w:szCs w:val="28"/>
        </w:rPr>
        <w:t>Таблица 1 - Сводная таблица показателей эффективности использования приватного железнодорожного подвижного состава [4] [5] [6] [7] [8] [1] [9]</w:t>
      </w:r>
    </w:p>
    <w:p>
      <w:pPr>
        <w:spacing w:after="0" w:line="360" w:lineRule="auto"/>
        <w:contextualSpacing/>
        <w:jc w:val="center"/>
        <w:rPr>
          <w:rFonts w:ascii="Times New Roman" w:hAnsi="Times New Roman" w:eastAsia="Calibri" w:cs="Times New Roman"/>
          <w:b/>
          <w:sz w:val="28"/>
          <w:szCs w:val="28"/>
        </w:rPr>
      </w:pPr>
    </w:p>
    <w:tbl>
      <w:tblPr>
        <w:tblStyle w:val="22"/>
        <w:tblW w:w="14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3"/>
        <w:gridCol w:w="2588"/>
        <w:gridCol w:w="2873"/>
        <w:gridCol w:w="1559"/>
        <w:gridCol w:w="5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pPr>
              <w:spacing w:after="0" w:line="360" w:lineRule="auto"/>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Автор</w:t>
            </w:r>
          </w:p>
        </w:tc>
        <w:tc>
          <w:tcPr>
            <w:tcW w:w="2544" w:type="dxa"/>
          </w:tcPr>
          <w:p>
            <w:pPr>
              <w:spacing w:after="0" w:line="360" w:lineRule="auto"/>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Название источника, год издания</w:t>
            </w:r>
          </w:p>
        </w:tc>
        <w:tc>
          <w:tcPr>
            <w:tcW w:w="2969" w:type="dxa"/>
          </w:tcPr>
          <w:p>
            <w:pPr>
              <w:spacing w:after="0" w:line="36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Показатель</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Единица измерения</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Формула расчета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restart"/>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Calibri" w:cs="Times New Roman"/>
                <w:b/>
                <w:color w:val="000000"/>
                <w:sz w:val="28"/>
                <w:szCs w:val="28"/>
                <w:shd w:val="clear" w:color="auto" w:fill="FFFFFF"/>
              </w:rPr>
            </w:pPr>
            <w:r>
              <w:rPr>
                <w:rFonts w:ascii="Times New Roman" w:hAnsi="Times New Roman" w:eastAsia="Calibri" w:cs="Times New Roman"/>
                <w:b/>
                <w:color w:val="000000"/>
                <w:sz w:val="28"/>
                <w:szCs w:val="28"/>
                <w:shd w:val="clear" w:color="auto" w:fill="FFFFFF"/>
              </w:rPr>
              <w:t xml:space="preserve">Бочарова Анастасия Анатольевна, </w:t>
            </w:r>
            <w:r>
              <w:rPr>
                <w:rFonts w:ascii="Times New Roman" w:hAnsi="Times New Roman" w:eastAsia="Calibri" w:cs="Times New Roman"/>
                <w:color w:val="000000"/>
                <w:sz w:val="28"/>
                <w:szCs w:val="28"/>
                <w:shd w:val="clear" w:color="auto" w:fill="FFFFFF"/>
              </w:rPr>
              <w:t>К.э.н.</w:t>
            </w:r>
            <w:r>
              <w:rPr>
                <w:rFonts w:ascii="Times New Roman" w:hAnsi="Times New Roman" w:eastAsia="Times New Roman" w:cs="Times New Roman"/>
                <w:color w:val="000000"/>
                <w:sz w:val="28"/>
                <w:szCs w:val="28"/>
                <w:lang w:eastAsia="ru-RU"/>
              </w:rPr>
              <w:t>[4]</w:t>
            </w:r>
          </w:p>
          <w:p>
            <w:pPr>
              <w:spacing w:after="0" w:line="360" w:lineRule="auto"/>
              <w:rPr>
                <w:rFonts w:ascii="Times New Roman" w:hAnsi="Times New Roman" w:eastAsia="Times New Roman" w:cs="Times New Roman"/>
                <w:color w:val="000000"/>
                <w:sz w:val="28"/>
                <w:szCs w:val="28"/>
                <w:lang w:eastAsia="ru-RU"/>
              </w:rPr>
            </w:pPr>
          </w:p>
        </w:tc>
        <w:tc>
          <w:tcPr>
            <w:tcW w:w="2544" w:type="dxa"/>
            <w:vMerge w:val="restart"/>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«Исследование эффективности использования приватного подвижного состава транспортной компанией» [4] (диссертация на соискание ученой степени кандидата экономических наук)</w:t>
            </w:r>
          </w:p>
          <w:p>
            <w:pPr>
              <w:spacing w:after="0" w:line="360" w:lineRule="auto"/>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color w:val="000000"/>
                <w:sz w:val="28"/>
                <w:szCs w:val="28"/>
                <w:lang w:eastAsia="ru-RU"/>
              </w:rPr>
              <w:t>г. Москва, 2012 год.</w:t>
            </w:r>
            <w:r>
              <w:rPr>
                <w:rFonts w:ascii="Times New Roman" w:hAnsi="Times New Roman" w:eastAsia="Times New Roman" w:cs="Times New Roman"/>
                <w:color w:val="000000"/>
                <w:sz w:val="28"/>
                <w:szCs w:val="28"/>
                <w:lang w:val="en-US" w:eastAsia="ru-RU"/>
              </w:rPr>
              <w:t>[</w:t>
            </w:r>
            <w:r>
              <w:rPr>
                <w:rFonts w:ascii="Times New Roman" w:hAnsi="Times New Roman" w:eastAsia="Times New Roman" w:cs="Times New Roman"/>
                <w:color w:val="000000"/>
                <w:sz w:val="28"/>
                <w:szCs w:val="28"/>
                <w:lang w:eastAsia="ru-RU"/>
              </w:rPr>
              <w:t>4</w:t>
            </w:r>
            <w:r>
              <w:rPr>
                <w:rFonts w:ascii="Times New Roman" w:hAnsi="Times New Roman" w:eastAsia="Times New Roman" w:cs="Times New Roman"/>
                <w:color w:val="000000"/>
                <w:sz w:val="28"/>
                <w:szCs w:val="28"/>
                <w:lang w:val="en-US" w:eastAsia="ru-RU"/>
              </w:rPr>
              <w:t>]</w:t>
            </w: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Погрузка полувагонов</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ваг.</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en-US" w:eastAsia="ru-RU"/>
              </w:rPr>
              <w:t>∑ Un (</w:t>
            </w:r>
            <w:r>
              <w:rPr>
                <w:rFonts w:ascii="Times New Roman" w:hAnsi="Times New Roman" w:eastAsia="Times New Roman" w:cs="Times New Roman"/>
                <w:color w:val="000000"/>
                <w:sz w:val="28"/>
                <w:szCs w:val="28"/>
                <w:lang w:eastAsia="ru-RU"/>
              </w:rPr>
              <w:t>пор</w:t>
            </w:r>
            <w:r>
              <w:rPr>
                <w:rFonts w:ascii="Times New Roman" w:hAnsi="Times New Roman" w:eastAsia="Times New Roman" w:cs="Times New Roman"/>
                <w:color w:val="000000"/>
                <w:sz w:val="28"/>
                <w:szCs w:val="28"/>
                <w:lang w:val="en-US" w:eastAsia="ru-RU"/>
              </w:rPr>
              <w:t xml:space="preserve"> ) = Un1 + Un2+ Un3 + … </w:t>
            </w:r>
            <w:r>
              <w:rPr>
                <w:rFonts w:ascii="Times New Roman" w:hAnsi="Times New Roman" w:eastAsia="Times New Roman" w:cs="Times New Roman"/>
                <w:color w:val="000000"/>
                <w:sz w:val="28"/>
                <w:szCs w:val="28"/>
                <w:lang w:eastAsia="ru-RU"/>
              </w:rPr>
              <w:t xml:space="preserve">Unm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Рабочий парк вагонов</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ваг.</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Np</w:t>
            </w:r>
            <w:r>
              <w:rPr>
                <w:rFonts w:ascii="Times New Roman" w:hAnsi="Times New Roman" w:eastAsia="Times New Roman" w:cs="Times New Roman"/>
                <w:color w:val="000000"/>
                <w:sz w:val="28"/>
                <w:szCs w:val="28"/>
                <w:lang w:val="en-US" w:eastAsia="ru-RU"/>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Оборот полувагона на сети ж.д.</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сут.</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m</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Q = Np / ∑Un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Количество порожних вагоноотправок</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ваг.</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m</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Кn (пор) = Кn1 (пор) + Кn2 (пор)+ Кn3 (пор) +…+ Кmn(пор)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n=1</w:t>
            </w:r>
          </w:p>
          <w:p>
            <w:pPr>
              <w:spacing w:after="0" w:line="360" w:lineRule="auto"/>
              <w:rPr>
                <w:rFonts w:ascii="Times New Roman" w:hAnsi="Times New Roman" w:eastAsia="Times New Roman" w:cs="Times New Roman"/>
                <w:color w:val="00000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Средняя дальность порожней вагоноотправки</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км.</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m</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Lпор = ∑nS(пор) / Кn(пор)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Средняя дальность груженой вагоноотправки</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км.</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m</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Lгр = ∑nS(гр) / Un(гр)</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Общие затраты на оплату провозных платежей порожних вагоноотправок</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тыс. руб.</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m</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Е(пор) = ∑P(пор)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Средняя стоимость одной порожней вагоноотправки</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тыс. руб.</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m</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С(пор) = Е(пор) / ∑Кn(пор)</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Затраты на оплату провозных платежей, приходящихся на одну груженую вагоноотправку</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тыс. руб.</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m</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Еср(пор) = Еn(пор) / ∑Un</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Доходность вагона</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руб./ваг. в сутки</w:t>
            </w:r>
          </w:p>
        </w:tc>
        <w:tc>
          <w:tcPr>
            <w:tcW w:w="5631" w:type="dxa"/>
          </w:tcPr>
          <w:p>
            <w:pPr>
              <w:spacing w:after="0" w:line="360" w:lineRule="auto"/>
              <w:rPr>
                <w:rFonts w:ascii="Times New Roman" w:hAnsi="Times New Roman" w:eastAsia="Times New Roman" w:cs="Times New Roman"/>
                <w:i/>
                <w:iCs/>
                <w:color w:val="000000"/>
                <w:sz w:val="28"/>
                <w:szCs w:val="28"/>
                <w:u w:val="single"/>
                <w:lang w:eastAsia="ru-RU"/>
              </w:rPr>
            </w:pP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i/>
                <w:iCs/>
                <w:color w:val="000000"/>
                <w:sz w:val="28"/>
                <w:szCs w:val="28"/>
                <w:u w:val="single"/>
                <w:lang w:eastAsia="ru-RU"/>
              </w:rPr>
              <w:t>1 Модель</w:t>
            </w:r>
          </w:p>
          <w:p>
            <w:pPr>
              <w:spacing w:after="0" w:line="360" w:lineRule="auto"/>
              <w:rPr>
                <w:rFonts w:ascii="Times New Roman" w:hAnsi="Times New Roman" w:eastAsia="Times New Roman" w:cs="Times New Roman"/>
                <w:color w:val="000000"/>
                <w:sz w:val="28"/>
                <w:szCs w:val="28"/>
                <w:lang w:eastAsia="ru-RU"/>
              </w:rPr>
            </w:pPr>
            <m:oMath>
              <m:r>
                <w:rPr>
                  <w:rFonts w:ascii="Cambria Math" w:hAnsi="Cambria Math" w:eastAsia="Times New Roman" w:cs="Times New Roman"/>
                  <w:color w:val="000000"/>
                  <w:sz w:val="28"/>
                  <w:szCs w:val="28"/>
                  <w:lang w:eastAsia="ru-RU"/>
                </w:rPr>
                <m:t>Д=</m:t>
              </m:r>
              <m:nary>
                <m:naryPr>
                  <m:chr m:val="∑"/>
                  <m:limLoc m:val="undOvr"/>
                  <m:ctrlPr>
                    <w:rPr>
                      <w:rFonts w:ascii="Cambria Math" w:hAnsi="Cambria Math" w:eastAsia="Times New Roman" w:cs="Times New Roman"/>
                      <w:i/>
                      <w:color w:val="000000"/>
                      <w:sz w:val="28"/>
                      <w:szCs w:val="28"/>
                      <w:lang w:eastAsia="ru-RU"/>
                    </w:rPr>
                  </m:ctrlPr>
                </m:naryPr>
                <m:sub>
                  <m:r>
                    <w:rPr>
                      <w:rFonts w:ascii="Cambria Math" w:hAnsi="Cambria Math" w:eastAsia="Times New Roman" w:cs="Times New Roman"/>
                      <w:color w:val="000000"/>
                      <w:sz w:val="28"/>
                      <w:szCs w:val="28"/>
                      <w:lang w:eastAsia="ru-RU"/>
                    </w:rPr>
                    <m:t>i=1</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n</m:t>
                  </m:r>
                  <m:ctrlPr>
                    <w:rPr>
                      <w:rFonts w:ascii="Cambria Math" w:hAnsi="Cambria Math" w:eastAsia="Times New Roman" w:cs="Times New Roman"/>
                      <w:i/>
                      <w:color w:val="000000"/>
                      <w:sz w:val="28"/>
                      <w:szCs w:val="28"/>
                      <w:lang w:eastAsia="ru-RU"/>
                    </w:rPr>
                  </m:ctrlPr>
                </m:sup>
                <m:e>
                  <m:sSubSup>
                    <m:sSubSupPr>
                      <m:ctrlPr>
                        <w:rPr>
                          <w:rFonts w:ascii="Cambria Math" w:hAnsi="Cambria Math" w:eastAsia="Times New Roman" w:cs="Times New Roman"/>
                          <w:i/>
                          <w:color w:val="000000"/>
                          <w:sz w:val="28"/>
                          <w:szCs w:val="28"/>
                          <w:lang w:eastAsia="ru-RU"/>
                        </w:rPr>
                      </m:ctrlPr>
                    </m:sSubSupPr>
                    <m:e>
                      <m:r>
                        <w:rPr>
                          <w:rFonts w:ascii="Cambria Math" w:hAnsi="Cambria Math" w:eastAsia="Times New Roman" w:cs="Times New Roman"/>
                          <w:color w:val="000000"/>
                          <w:sz w:val="28"/>
                          <w:szCs w:val="28"/>
                          <w:lang w:eastAsia="ru-RU"/>
                        </w:rPr>
                        <m:t>Д</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val="en-US" w:eastAsia="ru-RU"/>
                        </w:rPr>
                        <m:t>i</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ст</m:t>
                      </m:r>
                      <m:ctrlPr>
                        <w:rPr>
                          <w:rFonts w:ascii="Cambria Math" w:hAnsi="Cambria Math" w:eastAsia="Times New Roman" w:cs="Times New Roman"/>
                          <w:i/>
                          <w:color w:val="000000"/>
                          <w:sz w:val="28"/>
                          <w:szCs w:val="28"/>
                          <w:lang w:eastAsia="ru-RU"/>
                        </w:rPr>
                      </m:ctrlPr>
                    </m:sup>
                  </m:sSubSup>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n</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P</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i/>
                <w:iCs/>
                <w:color w:val="000000"/>
                <w:sz w:val="28"/>
                <w:szCs w:val="28"/>
                <w:u w:val="single"/>
                <w:lang w:eastAsia="ru-RU"/>
              </w:rPr>
            </w:pPr>
            <w:r>
              <w:rPr>
                <w:rFonts w:ascii="Times New Roman" w:hAnsi="Times New Roman" w:eastAsia="Times New Roman" w:cs="Times New Roman"/>
                <w:color w:val="000000"/>
                <w:sz w:val="28"/>
                <w:szCs w:val="28"/>
                <w:u w:val="single"/>
                <w:lang w:eastAsia="ru-RU"/>
              </w:rPr>
              <w:t> </w:t>
            </w:r>
            <w:r>
              <w:rPr>
                <w:rFonts w:ascii="Times New Roman" w:hAnsi="Times New Roman" w:eastAsia="Times New Roman" w:cs="Times New Roman"/>
                <w:i/>
                <w:iCs/>
                <w:color w:val="000000"/>
                <w:sz w:val="28"/>
                <w:szCs w:val="28"/>
                <w:u w:val="single"/>
                <w:lang w:eastAsia="ru-RU"/>
              </w:rPr>
              <w:t>2 Модель</w:t>
            </w:r>
          </w:p>
          <w:p>
            <w:pPr>
              <w:spacing w:after="0" w:line="360" w:lineRule="auto"/>
              <w:rPr>
                <w:rFonts w:ascii="Times New Roman" w:hAnsi="Times New Roman" w:eastAsia="Times New Roman" w:cs="Times New Roman"/>
                <w:color w:val="000000"/>
                <w:sz w:val="28"/>
                <w:szCs w:val="28"/>
                <w:lang w:eastAsia="ru-RU"/>
              </w:rPr>
            </w:pPr>
            <m:oMath>
              <m:r>
                <w:rPr>
                  <w:rFonts w:ascii="Cambria Math" w:hAnsi="Cambria Math" w:eastAsia="Times New Roman" w:cs="Times New Roman"/>
                  <w:color w:val="000000"/>
                  <w:sz w:val="28"/>
                  <w:szCs w:val="28"/>
                  <w:lang w:eastAsia="ru-RU"/>
                </w:rPr>
                <m:t>Д=</m:t>
              </m:r>
              <m:nary>
                <m:naryPr>
                  <m:chr m:val="∑"/>
                  <m:limLoc m:val="undOvr"/>
                  <m:ctrlPr>
                    <w:rPr>
                      <w:rFonts w:ascii="Cambria Math" w:hAnsi="Cambria Math" w:eastAsia="Times New Roman" w:cs="Times New Roman"/>
                      <w:i/>
                      <w:color w:val="000000"/>
                      <w:sz w:val="28"/>
                      <w:szCs w:val="28"/>
                      <w:lang w:eastAsia="ru-RU"/>
                    </w:rPr>
                  </m:ctrlPr>
                </m:naryPr>
                <m:sub>
                  <m:r>
                    <w:rPr>
                      <w:rFonts w:ascii="Cambria Math" w:hAnsi="Cambria Math" w:eastAsia="Times New Roman" w:cs="Times New Roman"/>
                      <w:color w:val="000000"/>
                      <w:sz w:val="28"/>
                      <w:szCs w:val="28"/>
                      <w:lang w:eastAsia="ru-RU"/>
                    </w:rPr>
                    <m:t>i=1</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n</m:t>
                  </m:r>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E</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 xml:space="preserve">i аренда </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n</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P</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i/>
                <w:iCs/>
                <w:color w:val="000000"/>
                <w:sz w:val="28"/>
                <w:szCs w:val="28"/>
                <w:u w:val="single"/>
                <w:lang w:eastAsia="ru-RU"/>
              </w:rPr>
            </w:pPr>
            <w:r>
              <w:rPr>
                <w:rFonts w:ascii="Times New Roman" w:hAnsi="Times New Roman" w:eastAsia="Times New Roman" w:cs="Times New Roman"/>
                <w:i/>
                <w:iCs/>
                <w:color w:val="000000"/>
                <w:sz w:val="28"/>
                <w:szCs w:val="28"/>
                <w:u w:val="single"/>
                <w:lang w:eastAsia="ru-RU"/>
              </w:rPr>
              <w:t>3 Модель</w:t>
            </w:r>
          </w:p>
          <w:p>
            <w:pPr>
              <w:spacing w:after="0" w:line="360" w:lineRule="auto"/>
              <w:rPr>
                <w:rFonts w:ascii="Times New Roman" w:hAnsi="Times New Roman" w:eastAsia="Times New Roman" w:cs="Times New Roman"/>
                <w:i/>
                <w:iCs/>
                <w:color w:val="000000"/>
                <w:sz w:val="28"/>
                <w:szCs w:val="28"/>
                <w:u w:val="single"/>
                <w:lang w:eastAsia="ru-RU"/>
              </w:rPr>
            </w:pPr>
            <m:oMath>
              <m:r>
                <w:rPr>
                  <w:rFonts w:ascii="Cambria Math" w:hAnsi="Cambria Math" w:eastAsia="Times New Roman" w:cs="Times New Roman"/>
                  <w:color w:val="000000"/>
                  <w:sz w:val="28"/>
                  <w:szCs w:val="28"/>
                  <w:lang w:eastAsia="ru-RU"/>
                </w:rPr>
                <m:t>Д=</m:t>
              </m:r>
              <m:nary>
                <m:naryPr>
                  <m:chr m:val="∑"/>
                  <m:limLoc m:val="undOvr"/>
                  <m:ctrlPr>
                    <w:rPr>
                      <w:rFonts w:ascii="Cambria Math" w:hAnsi="Cambria Math" w:eastAsia="Times New Roman" w:cs="Times New Roman"/>
                      <w:i/>
                      <w:color w:val="000000"/>
                      <w:sz w:val="28"/>
                      <w:szCs w:val="28"/>
                      <w:lang w:eastAsia="ru-RU"/>
                    </w:rPr>
                  </m:ctrlPr>
                </m:naryPr>
                <m:sub>
                  <m:r>
                    <w:rPr>
                      <w:rFonts w:ascii="Cambria Math" w:hAnsi="Cambria Math" w:eastAsia="Times New Roman" w:cs="Times New Roman"/>
                      <w:color w:val="000000"/>
                      <w:sz w:val="28"/>
                      <w:szCs w:val="28"/>
                      <w:lang w:eastAsia="ru-RU"/>
                    </w:rPr>
                    <m:t>i=1</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n</m:t>
                  </m:r>
                  <m:ctrlPr>
                    <w:rPr>
                      <w:rFonts w:ascii="Cambria Math" w:hAnsi="Cambria Math" w:eastAsia="Times New Roman" w:cs="Times New Roman"/>
                      <w:i/>
                      <w:color w:val="000000"/>
                      <w:sz w:val="28"/>
                      <w:szCs w:val="28"/>
                      <w:lang w:eastAsia="ru-RU"/>
                    </w:rPr>
                  </m:ctrlPr>
                </m:sup>
                <m:e>
                  <m:sSubSup>
                    <m:sSubSupPr>
                      <m:ctrlPr>
                        <w:rPr>
                          <w:rFonts w:ascii="Cambria Math" w:hAnsi="Cambria Math" w:eastAsia="Times New Roman" w:cs="Times New Roman"/>
                          <w:i/>
                          <w:color w:val="000000"/>
                          <w:sz w:val="28"/>
                          <w:szCs w:val="28"/>
                          <w:lang w:eastAsia="ru-RU"/>
                        </w:rPr>
                      </m:ctrlPr>
                    </m:sSubSupPr>
                    <m:e>
                      <m:r>
                        <w:rPr>
                          <w:rFonts w:ascii="Cambria Math" w:hAnsi="Cambria Math" w:eastAsia="Times New Roman" w:cs="Times New Roman"/>
                          <w:color w:val="000000"/>
                          <w:sz w:val="28"/>
                          <w:szCs w:val="28"/>
                          <w:lang w:eastAsia="ru-RU"/>
                        </w:rPr>
                        <m:t>Д</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val="en-US" w:eastAsia="ru-RU"/>
                        </w:rPr>
                        <m:t>i</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ст</m:t>
                      </m:r>
                      <m:ctrlPr>
                        <w:rPr>
                          <w:rFonts w:ascii="Cambria Math" w:hAnsi="Cambria Math" w:eastAsia="Times New Roman" w:cs="Times New Roman"/>
                          <w:i/>
                          <w:color w:val="000000"/>
                          <w:sz w:val="28"/>
                          <w:szCs w:val="28"/>
                          <w:lang w:eastAsia="ru-RU"/>
                        </w:rPr>
                      </m:ctrlPr>
                    </m:sup>
                  </m:sSubSup>
                  <m:r>
                    <w:rPr>
                      <w:rFonts w:ascii="Cambria Math" w:hAnsi="Cambria Math" w:eastAsia="Times New Roman" w:cs="Times New Roman"/>
                      <w:color w:val="000000"/>
                      <w:sz w:val="28"/>
                      <w:szCs w:val="28"/>
                      <w:lang w:eastAsia="ru-RU"/>
                    </w:rPr>
                    <m:t>-</m:t>
                  </m:r>
                  <m:nary>
                    <m:naryPr>
                      <m:chr m:val="∑"/>
                      <m:limLoc m:val="undOvr"/>
                      <m:ctrlPr>
                        <w:rPr>
                          <w:rFonts w:ascii="Cambria Math" w:hAnsi="Cambria Math" w:eastAsia="Times New Roman" w:cs="Times New Roman"/>
                          <w:i/>
                          <w:color w:val="000000"/>
                          <w:sz w:val="28"/>
                          <w:szCs w:val="28"/>
                          <w:lang w:eastAsia="ru-RU"/>
                        </w:rPr>
                      </m:ctrlPr>
                    </m:naryPr>
                    <m:sub>
                      <m:r>
                        <w:rPr>
                          <w:rFonts w:ascii="Cambria Math" w:hAnsi="Cambria Math" w:eastAsia="Times New Roman" w:cs="Times New Roman"/>
                          <w:color w:val="000000"/>
                          <w:sz w:val="28"/>
                          <w:szCs w:val="28"/>
                          <w:lang w:eastAsia="ru-RU"/>
                        </w:rPr>
                        <m:t>i=1</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n</m:t>
                      </m:r>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E</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i пор</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i/>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где i - количество вагонов собственника, переданных в управление перевозчику.</w:t>
            </w:r>
          </w:p>
          <w:p>
            <w:pPr>
              <w:spacing w:after="0" w:line="360" w:lineRule="auto"/>
              <w:rPr>
                <w:rFonts w:ascii="Times New Roman" w:hAnsi="Times New Roman" w:eastAsia="Times New Roman" w:cs="Times New Roman"/>
                <w:color w:val="00000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3" w:type="dxa"/>
            <w:gridSpan w:val="5"/>
          </w:tcPr>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Calibri" w:cs="Times New Roman"/>
                <w:color w:val="000000"/>
                <w:sz w:val="28"/>
                <w:szCs w:val="28"/>
                <w:shd w:val="clear" w:color="auto" w:fill="FFFFFF"/>
              </w:rPr>
              <w:t>Предложенная система показателей может быть применена на практике транспортными компаниями для оценки эффективности использования привлеченного в управление подвижного состава и обоснования передачи функций оперирования вагонными парками иным собственникам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restart"/>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Ольга Павловна Югрина,</w:t>
            </w:r>
            <w:r>
              <w:rPr>
                <w:rFonts w:ascii="Times New Roman" w:hAnsi="Times New Roman" w:eastAsia="Times New Roman" w:cs="Times New Roman"/>
                <w:color w:val="000000"/>
                <w:sz w:val="28"/>
                <w:szCs w:val="28"/>
                <w:lang w:eastAsia="ru-RU"/>
              </w:rPr>
              <w:t xml:space="preserve"> к.т.н., доцент; кафедра «Управление эксплуатационной работы» Сибирский государственный</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университет путей сообщения; Новосибирск, Россия [5]. </w:t>
            </w: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Степан Юрьевич Соснин,</w:t>
            </w:r>
            <w:r>
              <w:rPr>
                <w:rFonts w:ascii="Times New Roman" w:hAnsi="Times New Roman" w:eastAsia="Times New Roman" w:cs="Times New Roman"/>
                <w:color w:val="000000"/>
                <w:sz w:val="28"/>
                <w:szCs w:val="28"/>
                <w:lang w:eastAsia="ru-RU"/>
              </w:rPr>
              <w:t xml:space="preserve"> ведущий инженер; Центральная дирекция управления движением ОАО «РЖД»; Новосибирск, Россия [5] .</w:t>
            </w:r>
          </w:p>
        </w:tc>
        <w:tc>
          <w:tcPr>
            <w:tcW w:w="2544" w:type="dxa"/>
            <w:vMerge w:val="restart"/>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Вестник Уральского государственного университета путей сообщения · № 1 (33) · 2017 </w:t>
            </w:r>
            <w:r>
              <w:rPr>
                <w:rFonts w:ascii="Times New Roman" w:hAnsi="Times New Roman" w:eastAsia="Times New Roman" w:cs="Times New Roman"/>
                <w:color w:val="000000"/>
                <w:sz w:val="28"/>
                <w:szCs w:val="28"/>
                <w:lang w:eastAsia="ru-RU"/>
              </w:rPr>
              <w:t>[5]</w:t>
            </w: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УДК 656.2(075.9)</w:t>
            </w:r>
          </w:p>
          <w:p>
            <w:pPr>
              <w:spacing w:after="0" w:line="360" w:lineRule="auto"/>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color w:val="000000"/>
                <w:sz w:val="28"/>
                <w:szCs w:val="28"/>
                <w:lang w:eastAsia="ru-RU"/>
              </w:rPr>
              <w:t>Стр. 88-89</w:t>
            </w:r>
            <w:r>
              <w:rPr>
                <w:rFonts w:ascii="Times New Roman" w:hAnsi="Times New Roman" w:eastAsia="Times New Roman" w:cs="Times New Roman"/>
                <w:color w:val="000000"/>
                <w:sz w:val="28"/>
                <w:szCs w:val="28"/>
                <w:lang w:val="en-US" w:eastAsia="ru-RU"/>
              </w:rPr>
              <w:t xml:space="preserve"> [</w:t>
            </w:r>
            <w:r>
              <w:rPr>
                <w:rFonts w:ascii="Times New Roman" w:hAnsi="Times New Roman" w:eastAsia="Times New Roman" w:cs="Times New Roman"/>
                <w:color w:val="000000"/>
                <w:sz w:val="28"/>
                <w:szCs w:val="28"/>
                <w:lang w:eastAsia="ru-RU"/>
              </w:rPr>
              <w:t>5</w:t>
            </w:r>
            <w:r>
              <w:rPr>
                <w:rFonts w:ascii="Times New Roman" w:hAnsi="Times New Roman" w:eastAsia="Times New Roman" w:cs="Times New Roman"/>
                <w:color w:val="000000"/>
                <w:sz w:val="28"/>
                <w:szCs w:val="28"/>
                <w:lang w:val="en-US" w:eastAsia="ru-RU"/>
              </w:rPr>
              <w:t>]</w:t>
            </w:r>
          </w:p>
        </w:tc>
        <w:tc>
          <w:tcPr>
            <w:tcW w:w="2969"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Оборот вагона </w:t>
            </w: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tc>
        <w:tc>
          <w:tcPr>
            <w:tcW w:w="1176"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Ваг/сут</w:t>
            </w:r>
          </w:p>
        </w:tc>
        <w:tc>
          <w:tcPr>
            <w:tcW w:w="5631"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m:oMath>
              <m:r>
                <m:rPr>
                  <m:sty m:val="p"/>
                </m:rPr>
                <w:rPr>
                  <w:rFonts w:ascii="Cambria Math" w:hAnsi="Cambria Math" w:eastAsia="Times New Roman" w:cs="Times New Roman"/>
                  <w:color w:val="000000"/>
                  <w:sz w:val="28"/>
                  <w:szCs w:val="28"/>
                  <w:lang w:val="en-US" w:eastAsia="ru-RU"/>
                </w:rPr>
                <m:t>θ</m:t>
              </m:r>
              <m:r>
                <m:rPr>
                  <m:sty m:val="p"/>
                </m:rPr>
                <w:rPr>
                  <w:rFonts w:ascii="Cambria Math" w:hAnsi="Cambria Math" w:eastAsia="Times New Roman" w:cs="Times New Roman"/>
                  <w:color w:val="000000"/>
                  <w:sz w:val="28"/>
                  <w:szCs w:val="28"/>
                  <w:lang w:eastAsia="ru-RU"/>
                </w:rPr>
                <m:t xml:space="preserve"> =</m:t>
              </m:r>
              <m:f>
                <m:fPr>
                  <m:ctrlPr>
                    <w:rPr>
                      <w:rFonts w:ascii="Cambria Math" w:hAnsi="Cambria Math" w:eastAsia="Times New Roman" w:cs="Times New Roman"/>
                      <w:color w:val="000000"/>
                      <w:sz w:val="28"/>
                      <w:szCs w:val="28"/>
                      <w:lang w:eastAsia="ru-RU"/>
                    </w:rPr>
                  </m:ctrlPr>
                </m:fPr>
                <m:num>
                  <m:r>
                    <m:rPr>
                      <m:sty m:val="p"/>
                    </m:rPr>
                    <w:rPr>
                      <w:rFonts w:ascii="Cambria Math" w:hAnsi="Cambria Math" w:eastAsia="Times New Roman" w:cs="Times New Roman"/>
                      <w:color w:val="000000"/>
                      <w:sz w:val="28"/>
                      <w:szCs w:val="28"/>
                      <w:lang w:val="en-US" w:eastAsia="ru-RU"/>
                    </w:rPr>
                    <m:t>P</m:t>
                  </m:r>
                  <m:ctrlPr>
                    <w:rPr>
                      <w:rFonts w:ascii="Cambria Math" w:hAnsi="Cambria Math" w:eastAsia="Times New Roman" w:cs="Times New Roman"/>
                      <w:color w:val="000000"/>
                      <w:sz w:val="28"/>
                      <w:szCs w:val="28"/>
                      <w:lang w:eastAsia="ru-RU"/>
                    </w:rPr>
                  </m:ctrlPr>
                </m:num>
                <m:den>
                  <m:r>
                    <w:rPr>
                      <w:rFonts w:ascii="Cambria Math" w:hAnsi="Cambria Math" w:eastAsia="Times New Roman" w:cs="Times New Roman"/>
                      <w:color w:val="000000"/>
                      <w:sz w:val="28"/>
                      <w:szCs w:val="28"/>
                      <w:lang w:val="en-US" w:eastAsia="ru-RU"/>
                    </w:rPr>
                    <m:t>U</m:t>
                  </m:r>
                  <m:ctrlPr>
                    <w:rPr>
                      <w:rFonts w:ascii="Cambria Math" w:hAnsi="Cambria Math" w:eastAsia="Times New Roman" w:cs="Times New Roman"/>
                      <w:color w:val="000000"/>
                      <w:sz w:val="28"/>
                      <w:szCs w:val="28"/>
                      <w:lang w:eastAsia="ru-RU"/>
                    </w:rPr>
                  </m:ctrlPr>
                </m:den>
              </m:f>
              <m:r>
                <w:rPr>
                  <w:rFonts w:ascii="Cambria Math" w:hAnsi="Cambria Math" w:eastAsia="Times New Roman" w:cs="Times New Roman"/>
                  <w:color w:val="000000"/>
                  <w:sz w:val="28"/>
                  <w:szCs w:val="28"/>
                  <w:lang w:eastAsia="ru-RU"/>
                </w:rPr>
                <m:t xml:space="preserve"> </m:t>
              </m:r>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где </w:t>
            </w:r>
            <w:r>
              <w:rPr>
                <w:rFonts w:ascii="Times New Roman" w:hAnsi="Times New Roman" w:eastAsia="Times New Roman" w:cs="Times New Roman"/>
                <w:color w:val="000000"/>
                <w:sz w:val="28"/>
                <w:szCs w:val="28"/>
                <w:lang w:val="en-US" w:eastAsia="ru-RU"/>
              </w:rPr>
              <w:t>P</w:t>
            </w:r>
            <w:r>
              <w:rPr>
                <w:rFonts w:ascii="Times New Roman" w:hAnsi="Times New Roman" w:eastAsia="Times New Roman" w:cs="Times New Roman"/>
                <w:color w:val="000000"/>
                <w:sz w:val="28"/>
                <w:szCs w:val="28"/>
                <w:lang w:eastAsia="ru-RU"/>
              </w:rPr>
              <w:t xml:space="preserve"> – потребный рабочий парк, ваг.;</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en-US" w:eastAsia="ru-RU"/>
              </w:rPr>
              <w:t>U</w:t>
            </w:r>
            <w:r>
              <w:rPr>
                <w:rFonts w:ascii="Times New Roman" w:hAnsi="Times New Roman" w:eastAsia="Times New Roman" w:cs="Times New Roman"/>
                <w:color w:val="000000"/>
                <w:sz w:val="28"/>
                <w:szCs w:val="28"/>
                <w:lang w:eastAsia="ru-RU"/>
              </w:rPr>
              <w:t xml:space="preserve"> – работа вагонного парка (ваг./сут).</w:t>
            </w:r>
          </w:p>
          <w:p>
            <w:pPr>
              <w:spacing w:after="0" w:line="360" w:lineRule="auto"/>
              <w:rPr>
                <w:rFonts w:ascii="Times New Roman" w:hAnsi="Times New Roman" w:eastAsia="Times New Roman" w:cs="Times New Roman"/>
                <w:color w:val="00000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Сокращение потребного</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рабочего парка </w:t>
            </w:r>
          </w:p>
          <w:p>
            <w:pPr>
              <w:spacing w:after="0" w:line="360" w:lineRule="auto"/>
              <w:rPr>
                <w:rFonts w:ascii="Times New Roman" w:hAnsi="Times New Roman" w:eastAsia="Times New Roman" w:cs="Times New Roman"/>
                <w:color w:val="000000"/>
                <w:sz w:val="28"/>
                <w:szCs w:val="28"/>
                <w:lang w:eastAsia="ru-RU"/>
              </w:rPr>
            </w:pP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Ваг</w:t>
            </w: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en-US" w:eastAsia="ru-RU"/>
              </w:rPr>
              <w:t>ΔP</w:t>
            </w:r>
            <w:r>
              <w:rPr>
                <w:rFonts w:ascii="Times New Roman" w:hAnsi="Times New Roman" w:eastAsia="Times New Roman" w:cs="Times New Roman"/>
                <w:color w:val="000000"/>
                <w:sz w:val="28"/>
                <w:szCs w:val="28"/>
                <w:lang w:eastAsia="ru-RU"/>
              </w:rPr>
              <w:t xml:space="preserve"> = </w:t>
            </w:r>
            <w:r>
              <w:rPr>
                <w:rFonts w:ascii="Times New Roman" w:hAnsi="Times New Roman" w:eastAsia="Times New Roman" w:cs="Times New Roman"/>
                <w:color w:val="000000"/>
                <w:sz w:val="28"/>
                <w:szCs w:val="28"/>
                <w:lang w:val="en-US" w:eastAsia="ru-RU"/>
              </w:rPr>
              <w:t>ΔQ</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val="en-US" w:eastAsia="ru-RU"/>
              </w:rPr>
              <w:t>U</w:t>
            </w:r>
            <w:r>
              <w:rPr>
                <w:rFonts w:ascii="Times New Roman" w:hAnsi="Times New Roman" w:eastAsia="Times New Roman" w:cs="Times New Roman"/>
                <w:color w:val="000000"/>
                <w:sz w:val="28"/>
                <w:szCs w:val="28"/>
                <w:lang w:eastAsia="ru-RU"/>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restart"/>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Хусаинов Фарид Иосифович – </w:t>
            </w:r>
            <w:r>
              <w:rPr>
                <w:rFonts w:ascii="Times New Roman" w:hAnsi="Times New Roman" w:eastAsia="Times New Roman" w:cs="Times New Roman"/>
                <w:color w:val="000000"/>
                <w:sz w:val="28"/>
                <w:szCs w:val="28"/>
                <w:lang w:eastAsia="ru-RU"/>
              </w:rPr>
              <w:t>кандидат экономических наук, начальник отдела маркетинга ДЦФТО Приволжской железной дороги - филиала «ОАО РЖД» [6]</w:t>
            </w:r>
          </w:p>
          <w:p>
            <w:pPr>
              <w:spacing w:after="0" w:line="360" w:lineRule="auto"/>
              <w:rPr>
                <w:rFonts w:ascii="Times New Roman" w:hAnsi="Times New Roman" w:eastAsia="Times New Roman" w:cs="Times New Roman"/>
                <w:color w:val="000000"/>
                <w:sz w:val="28"/>
                <w:szCs w:val="28"/>
                <w:lang w:eastAsia="ru-RU"/>
              </w:rPr>
            </w:pPr>
          </w:p>
        </w:tc>
        <w:tc>
          <w:tcPr>
            <w:tcW w:w="2544" w:type="dxa"/>
            <w:vMerge w:val="restart"/>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Вестник транспорта Поволжья № 1 (25) 2011 г.</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«Экономика, организация</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и планирование на транспорте» [6]</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УДК 658.3</w:t>
            </w:r>
          </w:p>
          <w:p>
            <w:pPr>
              <w:spacing w:after="0" w:line="360" w:lineRule="auto"/>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color w:val="000000"/>
                <w:sz w:val="28"/>
                <w:szCs w:val="28"/>
                <w:lang w:eastAsia="ru-RU"/>
              </w:rPr>
              <w:t>Стр. 9-10</w:t>
            </w:r>
            <w:r>
              <w:rPr>
                <w:rFonts w:ascii="Times New Roman" w:hAnsi="Times New Roman" w:eastAsia="Times New Roman" w:cs="Times New Roman"/>
                <w:color w:val="000000"/>
                <w:sz w:val="28"/>
                <w:szCs w:val="28"/>
                <w:lang w:val="en-US" w:eastAsia="ru-RU"/>
              </w:rPr>
              <w:t xml:space="preserve"> [</w:t>
            </w:r>
            <w:r>
              <w:rPr>
                <w:rFonts w:ascii="Times New Roman" w:hAnsi="Times New Roman" w:eastAsia="Times New Roman" w:cs="Times New Roman"/>
                <w:color w:val="000000"/>
                <w:sz w:val="28"/>
                <w:szCs w:val="28"/>
                <w:lang w:eastAsia="ru-RU"/>
              </w:rPr>
              <w:t>6</w:t>
            </w:r>
            <w:r>
              <w:rPr>
                <w:rFonts w:ascii="Times New Roman" w:hAnsi="Times New Roman" w:eastAsia="Times New Roman" w:cs="Times New Roman"/>
                <w:color w:val="000000"/>
                <w:sz w:val="28"/>
                <w:szCs w:val="28"/>
                <w:lang w:val="en-US" w:eastAsia="ru-RU"/>
              </w:rPr>
              <w:t>]</w:t>
            </w: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Коэффициент порожнего пробега</w:t>
            </w:r>
          </w:p>
        </w:tc>
        <w:tc>
          <w:tcPr>
            <w:tcW w:w="1176" w:type="dxa"/>
          </w:tcPr>
          <w:p>
            <w:pPr>
              <w:spacing w:after="0" w:line="360" w:lineRule="auto"/>
              <w:rPr>
                <w:rFonts w:ascii="Times New Roman" w:hAnsi="Times New Roman" w:eastAsia="Times New Roman" w:cs="Times New Roman"/>
                <w:color w:val="000000"/>
                <w:sz w:val="28"/>
                <w:szCs w:val="28"/>
                <w:lang w:eastAsia="ru-RU"/>
              </w:rPr>
            </w:pPr>
          </w:p>
        </w:tc>
        <w:tc>
          <w:tcPr>
            <w:tcW w:w="5631" w:type="dxa"/>
          </w:tcPr>
          <w:p>
            <w:pPr>
              <w:spacing w:after="0" w:line="360" w:lineRule="auto"/>
              <w:rPr>
                <w:rFonts w:ascii="Times New Roman" w:hAnsi="Times New Roman" w:eastAsia="Times New Roman" w:cs="Times New Roman"/>
                <w:color w:val="000000"/>
                <w:sz w:val="28"/>
                <w:szCs w:val="28"/>
                <w:lang w:eastAsia="ru-RU"/>
              </w:rPr>
            </w:pPr>
            <m:oMath>
              <m:r>
                <w:rPr>
                  <w:rFonts w:ascii="Cambria Math" w:hAnsi="Cambria Math" w:eastAsia="Times New Roman" w:cs="Times New Roman"/>
                  <w:color w:val="000000"/>
                  <w:sz w:val="28"/>
                  <w:szCs w:val="28"/>
                  <w:lang w:eastAsia="ru-RU"/>
                </w:rPr>
                <m:t>L=</m:t>
              </m:r>
              <m:f>
                <m:fPr>
                  <m:ctrlPr>
                    <w:rPr>
                      <w:rFonts w:ascii="Cambria Math" w:hAnsi="Cambria Math" w:eastAsia="Times New Roman" w:cs="Times New Roman"/>
                      <w:i/>
                      <w:color w:val="000000"/>
                      <w:sz w:val="28"/>
                      <w:szCs w:val="28"/>
                      <w:lang w:eastAsia="ru-RU"/>
                    </w:rPr>
                  </m:ctrlPr>
                </m:fPr>
                <m:num>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WS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пор</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ctrlPr>
                    <w:rPr>
                      <w:rFonts w:ascii="Cambria Math" w:hAnsi="Cambria Math" w:eastAsia="Times New Roman" w:cs="Times New Roman"/>
                      <w:i/>
                      <w:color w:val="000000"/>
                      <w:sz w:val="28"/>
                      <w:szCs w:val="28"/>
                      <w:lang w:eastAsia="ru-RU"/>
                    </w:rPr>
                  </m:ctrlPr>
                </m:num>
                <m:den>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WS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ctrlPr>
                    <w:rPr>
                      <w:rFonts w:ascii="Cambria Math" w:hAnsi="Cambria Math" w:eastAsia="Times New Roman" w:cs="Times New Roman"/>
                      <w:i/>
                      <w:color w:val="000000"/>
                      <w:sz w:val="28"/>
                      <w:szCs w:val="28"/>
                      <w:lang w:eastAsia="ru-RU"/>
                    </w:rPr>
                  </m:ctrlPr>
                </m:den>
              </m:f>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m:oMath>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WS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пор</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xml:space="preserve"> – пробег вагона в порожнем состоянии</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пробег вагона в порожнем состоянии</w:t>
            </w:r>
          </w:p>
          <w:p>
            <w:pPr>
              <w:spacing w:after="0" w:line="360" w:lineRule="auto"/>
              <w:rPr>
                <w:rFonts w:ascii="Times New Roman" w:hAnsi="Times New Roman" w:eastAsia="Times New Roman" w:cs="Times New Roman"/>
                <w:color w:val="000000"/>
                <w:sz w:val="28"/>
                <w:szCs w:val="28"/>
                <w:lang w:eastAsia="ru-RU"/>
              </w:rPr>
            </w:pPr>
            <m:oMath>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WS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xml:space="preserve">- пробег вагона в груженом состоянии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Оборот вагона</w:t>
            </w:r>
          </w:p>
        </w:tc>
        <w:tc>
          <w:tcPr>
            <w:tcW w:w="1176"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Сут.</w:t>
            </w:r>
          </w:p>
        </w:tc>
        <w:tc>
          <w:tcPr>
            <w:tcW w:w="5631" w:type="dxa"/>
          </w:tcPr>
          <w:p>
            <w:pPr>
              <w:spacing w:after="0" w:line="360" w:lineRule="auto"/>
              <w:rPr>
                <w:rFonts w:ascii="Times New Roman" w:hAnsi="Times New Roman" w:eastAsia="Times New Roman" w:cs="Times New Roman"/>
                <w:color w:val="000000"/>
                <w:sz w:val="28"/>
                <w:szCs w:val="28"/>
                <w:lang w:eastAsia="ru-RU"/>
              </w:rPr>
            </w:pPr>
            <m:oMathPara>
              <m:oMath>
                <m:r>
                  <m:rPr>
                    <m:sty m:val="p"/>
                  </m:rPr>
                  <w:rPr>
                    <w:rFonts w:ascii="Cambria Math" w:hAnsi="Cambria Math" w:eastAsia="Times New Roman" w:cs="Times New Roman"/>
                    <w:color w:val="000000"/>
                    <w:sz w:val="28"/>
                    <w:szCs w:val="28"/>
                    <w:lang w:eastAsia="ru-RU"/>
                  </w:rPr>
                  <m:t>Ɵ=24(</m:t>
                </m:r>
                <m:f>
                  <m:fPr>
                    <m:ctrlPr>
                      <w:rPr>
                        <w:rFonts w:ascii="Cambria Math" w:hAnsi="Cambria Math" w:eastAsia="Times New Roman" w:cs="Times New Roman"/>
                        <w:color w:val="000000"/>
                        <w:sz w:val="28"/>
                        <w:szCs w:val="28"/>
                        <w:lang w:eastAsia="ru-RU"/>
                      </w:rPr>
                    </m:ctrlPr>
                  </m:fPr>
                  <m:num>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num>
                  <m:den>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V</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уч</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den>
                </m:f>
                <m:r>
                  <w:rPr>
                    <w:rFonts w:ascii="Cambria Math" w:hAnsi="Cambria Math" w:eastAsia="Times New Roman" w:cs="Times New Roman"/>
                    <w:color w:val="000000"/>
                    <w:sz w:val="28"/>
                    <w:szCs w:val="28"/>
                    <w:lang w:eastAsia="ru-RU"/>
                  </w:rPr>
                  <m:t>+</m:t>
                </m:r>
                <m:f>
                  <m:fPr>
                    <m:ctrlPr>
                      <w:rPr>
                        <w:rFonts w:ascii="Cambria Math" w:hAnsi="Cambria Math" w:eastAsia="Times New Roman" w:cs="Times New Roman"/>
                        <w:color w:val="000000"/>
                        <w:sz w:val="28"/>
                        <w:szCs w:val="28"/>
                        <w:lang w:eastAsia="ru-RU"/>
                      </w:rPr>
                    </m:ctrlPr>
                  </m:fPr>
                  <m:num>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num>
                  <m:den>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den>
                </m:f>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K</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м</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oMath>
            </m:oMathPara>
          </w:p>
          <w:p>
            <w:pPr>
              <w:spacing w:after="0" w:line="360" w:lineRule="auto"/>
              <w:rPr>
                <w:rFonts w:ascii="Times New Roman" w:hAnsi="Times New Roman" w:eastAsia="Times New Roman" w:cs="Times New Roman"/>
                <w:color w:val="000000"/>
                <w:sz w:val="28"/>
                <w:szCs w:val="28"/>
                <w:lang w:eastAsia="ru-RU"/>
              </w:rPr>
            </w:pPr>
            <m:oMath>
              <m:f>
                <m:fPr>
                  <m:ctrlPr>
                    <w:rPr>
                      <w:rFonts w:ascii="Cambria Math" w:hAnsi="Cambria Math" w:eastAsia="Times New Roman" w:cs="Times New Roman"/>
                      <w:color w:val="000000"/>
                      <w:sz w:val="28"/>
                      <w:szCs w:val="28"/>
                      <w:lang w:eastAsia="ru-RU"/>
                    </w:rPr>
                  </m:ctrlPr>
                </m:fPr>
                <m:num>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num>
                <m:den>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V</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уч</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den>
              </m:f>
            </m:oMath>
            <w:r>
              <w:rPr>
                <w:rFonts w:ascii="Times New Roman" w:hAnsi="Times New Roman" w:eastAsia="Times New Roman" w:cs="Times New Roman"/>
                <w:color w:val="000000"/>
                <w:sz w:val="28"/>
                <w:szCs w:val="28"/>
                <w:lang w:eastAsia="ru-RU"/>
              </w:rPr>
              <w:t xml:space="preserve"> - время нахождения вагона в движении</w:t>
            </w:r>
          </w:p>
          <w:p>
            <w:pPr>
              <w:spacing w:after="0" w:line="360" w:lineRule="auto"/>
              <w:rPr>
                <w:rFonts w:ascii="Times New Roman" w:hAnsi="Times New Roman" w:eastAsia="Times New Roman" w:cs="Times New Roman"/>
                <w:color w:val="000000"/>
                <w:sz w:val="28"/>
                <w:szCs w:val="28"/>
                <w:lang w:eastAsia="ru-RU"/>
              </w:rPr>
            </w:pPr>
            <m:oMath>
              <m:f>
                <m:fPr>
                  <m:ctrlPr>
                    <w:rPr>
                      <w:rFonts w:ascii="Cambria Math" w:hAnsi="Cambria Math" w:eastAsia="Times New Roman" w:cs="Times New Roman"/>
                      <w:color w:val="000000"/>
                      <w:sz w:val="28"/>
                      <w:szCs w:val="28"/>
                      <w:lang w:eastAsia="ru-RU"/>
                    </w:rPr>
                  </m:ctrlPr>
                </m:fPr>
                <m:num>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num>
                <m:den>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den>
              </m:f>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время нахождения вагона на технических станциях</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K</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м</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время нахождения вагона на станциях погрузки и выгрузки </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полный рейс вагона</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V</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уч</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участковая скорость движения поездов, км/ч;</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вагонное плечо, т.е. ср. расстояние между техническими станциями</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время простоя вагона на одной технической станции, ч;</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K</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м</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коэффициент местной работы</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время нахождения на станции погрузки/выгрузки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Доходность вагона</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руб./ваг. в сутки</w:t>
            </w:r>
          </w:p>
        </w:tc>
        <w:tc>
          <w:tcPr>
            <w:tcW w:w="5631" w:type="dxa"/>
          </w:tcPr>
          <w:p>
            <w:pPr>
              <w:spacing w:after="0" w:line="360" w:lineRule="auto"/>
              <w:rPr>
                <w:rFonts w:ascii="Times New Roman" w:hAnsi="Times New Roman" w:eastAsia="Times New Roman" w:cs="Times New Roman"/>
                <w:color w:val="000000"/>
                <w:sz w:val="28"/>
                <w:szCs w:val="28"/>
                <w:lang w:eastAsia="ru-RU"/>
              </w:rPr>
            </w:pPr>
            <m:oMath>
              <m:r>
                <w:rPr>
                  <w:rFonts w:ascii="Cambria Math" w:hAnsi="Cambria Math" w:eastAsia="Times New Roman" w:cs="Times New Roman"/>
                  <w:color w:val="000000"/>
                  <w:sz w:val="28"/>
                  <w:szCs w:val="28"/>
                  <w:lang w:eastAsia="ru-RU"/>
                </w:rPr>
                <m:t>Д=</m:t>
              </m:r>
              <m:nary>
                <m:naryPr>
                  <m:chr m:val="∑"/>
                  <m:limLoc m:val="undOvr"/>
                  <m:ctrlPr>
                    <w:rPr>
                      <w:rFonts w:ascii="Cambria Math" w:hAnsi="Cambria Math" w:eastAsia="Times New Roman" w:cs="Times New Roman"/>
                      <w:i/>
                      <w:color w:val="000000"/>
                      <w:sz w:val="28"/>
                      <w:szCs w:val="28"/>
                      <w:lang w:eastAsia="ru-RU"/>
                    </w:rPr>
                  </m:ctrlPr>
                </m:naryPr>
                <m:sub>
                  <m:r>
                    <w:rPr>
                      <w:rFonts w:ascii="Cambria Math" w:hAnsi="Cambria Math" w:eastAsia="Times New Roman" w:cs="Times New Roman"/>
                      <w:color w:val="000000"/>
                      <w:sz w:val="28"/>
                      <w:szCs w:val="28"/>
                      <w:lang w:eastAsia="ru-RU"/>
                    </w:rPr>
                    <m:t>i=1</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n</m:t>
                  </m:r>
                  <m:ctrlPr>
                    <w:rPr>
                      <w:rFonts w:ascii="Cambria Math" w:hAnsi="Cambria Math" w:eastAsia="Times New Roman" w:cs="Times New Roman"/>
                      <w:i/>
                      <w:color w:val="000000"/>
                      <w:sz w:val="28"/>
                      <w:szCs w:val="28"/>
                      <w:lang w:eastAsia="ru-RU"/>
                    </w:rPr>
                  </m:ctrlPr>
                </m:sup>
                <m:e>
                  <m:sSubSup>
                    <m:sSubSupPr>
                      <m:ctrlPr>
                        <w:rPr>
                          <w:rFonts w:ascii="Cambria Math" w:hAnsi="Cambria Math" w:eastAsia="Times New Roman" w:cs="Times New Roman"/>
                          <w:i/>
                          <w:color w:val="000000"/>
                          <w:sz w:val="28"/>
                          <w:szCs w:val="28"/>
                          <w:lang w:eastAsia="ru-RU"/>
                        </w:rPr>
                      </m:ctrlPr>
                    </m:sSubSupPr>
                    <m:e>
                      <m:r>
                        <w:rPr>
                          <w:rFonts w:ascii="Cambria Math" w:hAnsi="Cambria Math" w:eastAsia="Times New Roman" w:cs="Times New Roman"/>
                          <w:color w:val="000000"/>
                          <w:sz w:val="28"/>
                          <w:szCs w:val="28"/>
                          <w:lang w:eastAsia="ru-RU"/>
                        </w:rPr>
                        <m:t>Д</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val="en-US" w:eastAsia="ru-RU"/>
                        </w:rPr>
                        <m:t>i</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ст</m:t>
                      </m:r>
                      <m:ctrlPr>
                        <w:rPr>
                          <w:rFonts w:ascii="Cambria Math" w:hAnsi="Cambria Math" w:eastAsia="Times New Roman" w:cs="Times New Roman"/>
                          <w:i/>
                          <w:color w:val="000000"/>
                          <w:sz w:val="28"/>
                          <w:szCs w:val="28"/>
                          <w:lang w:eastAsia="ru-RU"/>
                        </w:rPr>
                      </m:ctrlPr>
                    </m:sup>
                  </m:sSubSup>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n</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P</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263" w:type="dxa"/>
            <w:vMerge w:val="restart"/>
          </w:tcPr>
          <w:p>
            <w:pPr>
              <w:spacing w:after="0" w:line="360" w:lineRule="auto"/>
              <w:contextualSpacing/>
              <w:rPr>
                <w:rFonts w:ascii="Times New Roman" w:hAnsi="Times New Roman" w:eastAsia="Calibri" w:cs="Times New Roman"/>
                <w:b/>
                <w:sz w:val="28"/>
                <w:szCs w:val="28"/>
                <w:lang w:val="en-US"/>
              </w:rPr>
            </w:pPr>
            <w:r>
              <w:rPr>
                <w:rFonts w:ascii="Times New Roman" w:hAnsi="Times New Roman" w:eastAsia="Calibri" w:cs="Times New Roman"/>
                <w:b/>
                <w:sz w:val="28"/>
                <w:szCs w:val="28"/>
              </w:rPr>
              <w:t>Лапидус Б.М.</w:t>
            </w:r>
            <w:r>
              <w:rPr>
                <w:rFonts w:ascii="Times New Roman" w:hAnsi="Times New Roman" w:eastAsia="Calibri" w:cs="Times New Roman"/>
                <w:b/>
                <w:sz w:val="28"/>
                <w:szCs w:val="28"/>
                <w:lang w:val="en-US"/>
              </w:rPr>
              <w:t xml:space="preserve"> </w:t>
            </w:r>
            <w:r>
              <w:rPr>
                <w:rFonts w:ascii="Times New Roman" w:hAnsi="Times New Roman" w:eastAsia="Calibri" w:cs="Times New Roman"/>
                <w:sz w:val="28"/>
                <w:szCs w:val="28"/>
                <w:lang w:val="en-US"/>
              </w:rPr>
              <w:t>[</w:t>
            </w:r>
            <w:r>
              <w:rPr>
                <w:rFonts w:ascii="Times New Roman" w:hAnsi="Times New Roman" w:eastAsia="Calibri" w:cs="Times New Roman"/>
                <w:sz w:val="28"/>
                <w:szCs w:val="28"/>
              </w:rPr>
              <w:t>7</w:t>
            </w:r>
            <w:r>
              <w:rPr>
                <w:rFonts w:ascii="Times New Roman" w:hAnsi="Times New Roman" w:eastAsia="Calibri" w:cs="Times New Roman"/>
                <w:sz w:val="28"/>
                <w:szCs w:val="28"/>
                <w:lang w:val="en-US"/>
              </w:rPr>
              <w:t>]</w:t>
            </w:r>
          </w:p>
          <w:p>
            <w:pPr>
              <w:spacing w:after="0" w:line="360" w:lineRule="auto"/>
              <w:contextualSpacing/>
              <w:rPr>
                <w:rFonts w:ascii="Times New Roman" w:hAnsi="Times New Roman" w:eastAsia="Calibri" w:cs="Times New Roman"/>
                <w:sz w:val="28"/>
                <w:szCs w:val="28"/>
              </w:rPr>
            </w:pPr>
          </w:p>
          <w:p>
            <w:pPr>
              <w:spacing w:after="0" w:line="360" w:lineRule="auto"/>
              <w:rPr>
                <w:rFonts w:ascii="Times New Roman" w:hAnsi="Times New Roman" w:eastAsia="Times New Roman" w:cs="Times New Roman"/>
                <w:color w:val="000000"/>
                <w:sz w:val="28"/>
                <w:szCs w:val="28"/>
                <w:lang w:eastAsia="ru-RU"/>
              </w:rPr>
            </w:pPr>
          </w:p>
        </w:tc>
        <w:tc>
          <w:tcPr>
            <w:tcW w:w="2544" w:type="dxa"/>
            <w:vMerge w:val="restart"/>
          </w:tcPr>
          <w:p>
            <w:pPr>
              <w:spacing w:after="0" w:line="360" w:lineRule="auto"/>
              <w:contextualSpacing/>
              <w:rPr>
                <w:rFonts w:ascii="Times New Roman" w:hAnsi="Times New Roman" w:eastAsia="Calibri" w:cs="Times New Roman"/>
                <w:sz w:val="28"/>
                <w:szCs w:val="28"/>
                <w:lang w:val="en-US"/>
              </w:rPr>
            </w:pPr>
            <w:bookmarkStart w:id="3" w:name="_Hlk536744586"/>
            <w:r>
              <w:rPr>
                <w:rFonts w:ascii="Times New Roman" w:hAnsi="Times New Roman" w:eastAsia="Calibri" w:cs="Times New Roman"/>
                <w:sz w:val="28"/>
                <w:szCs w:val="28"/>
              </w:rPr>
              <w:t>«Экономические проблемы управления железнодорожным транспортом в России в период становления рыночных отношений», М: МГУ;2001. 301с</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7</w:t>
            </w:r>
            <w:r>
              <w:rPr>
                <w:rFonts w:ascii="Times New Roman" w:hAnsi="Times New Roman" w:eastAsia="Calibri" w:cs="Times New Roman"/>
                <w:sz w:val="28"/>
                <w:szCs w:val="28"/>
                <w:lang w:val="en-US"/>
              </w:rPr>
              <w:t>]</w:t>
            </w:r>
          </w:p>
          <w:bookmarkEnd w:id="3"/>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Оборот вагона</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Ваг/сут</w:t>
            </w:r>
          </w:p>
        </w:tc>
        <w:tc>
          <w:tcPr>
            <w:tcW w:w="5631" w:type="dxa"/>
          </w:tcPr>
          <w:p>
            <w:pPr>
              <w:spacing w:after="0" w:line="360" w:lineRule="auto"/>
              <w:rPr>
                <w:rFonts w:ascii="Times New Roman" w:hAnsi="Times New Roman" w:eastAsia="Times New Roman" w:cs="Times New Roman"/>
                <w:color w:val="000000"/>
                <w:sz w:val="28"/>
                <w:szCs w:val="28"/>
                <w:lang w:eastAsia="ru-RU"/>
              </w:rPr>
            </w:pPr>
            <m:oMath>
              <m:r>
                <m:rPr>
                  <m:sty m:val="p"/>
                </m:rPr>
                <w:rPr>
                  <w:rFonts w:ascii="Cambria Math" w:hAnsi="Cambria Math" w:eastAsia="Times New Roman" w:cs="Times New Roman"/>
                  <w:color w:val="000000"/>
                  <w:sz w:val="28"/>
                  <w:szCs w:val="28"/>
                  <w:lang w:val="en-US" w:eastAsia="ru-RU"/>
                </w:rPr>
                <m:t>θ</m:t>
              </m:r>
              <m:r>
                <m:rPr>
                  <m:sty m:val="p"/>
                </m:rPr>
                <w:rPr>
                  <w:rFonts w:ascii="Cambria Math" w:hAnsi="Cambria Math" w:eastAsia="Times New Roman" w:cs="Times New Roman"/>
                  <w:color w:val="000000"/>
                  <w:sz w:val="28"/>
                  <w:szCs w:val="28"/>
                  <w:lang w:eastAsia="ru-RU"/>
                </w:rPr>
                <m:t xml:space="preserve"> =</m:t>
              </m:r>
              <m:f>
                <m:fPr>
                  <m:ctrlPr>
                    <w:rPr>
                      <w:rFonts w:ascii="Cambria Math" w:hAnsi="Cambria Math" w:eastAsia="Times New Roman" w:cs="Times New Roman"/>
                      <w:color w:val="000000"/>
                      <w:sz w:val="28"/>
                      <w:szCs w:val="28"/>
                      <w:lang w:eastAsia="ru-RU"/>
                    </w:rPr>
                  </m:ctrlPr>
                </m:fPr>
                <m:num>
                  <m:r>
                    <m:rPr>
                      <m:sty m:val="p"/>
                    </m:rPr>
                    <w:rPr>
                      <w:rFonts w:ascii="Cambria Math" w:hAnsi="Cambria Math" w:eastAsia="Times New Roman" w:cs="Times New Roman"/>
                      <w:color w:val="000000"/>
                      <w:sz w:val="28"/>
                      <w:szCs w:val="28"/>
                      <w:lang w:val="en-US" w:eastAsia="ru-RU"/>
                    </w:rPr>
                    <m:t>P</m:t>
                  </m:r>
                  <m:ctrlPr>
                    <w:rPr>
                      <w:rFonts w:ascii="Cambria Math" w:hAnsi="Cambria Math" w:eastAsia="Times New Roman" w:cs="Times New Roman"/>
                      <w:color w:val="000000"/>
                      <w:sz w:val="28"/>
                      <w:szCs w:val="28"/>
                      <w:lang w:eastAsia="ru-RU"/>
                    </w:rPr>
                  </m:ctrlPr>
                </m:num>
                <m:den>
                  <m:r>
                    <w:rPr>
                      <w:rFonts w:ascii="Cambria Math" w:hAnsi="Cambria Math" w:eastAsia="Times New Roman" w:cs="Times New Roman"/>
                      <w:color w:val="000000"/>
                      <w:sz w:val="28"/>
                      <w:szCs w:val="28"/>
                      <w:lang w:val="en-US" w:eastAsia="ru-RU"/>
                    </w:rPr>
                    <m:t>U</m:t>
                  </m:r>
                  <m:ctrlPr>
                    <w:rPr>
                      <w:rFonts w:ascii="Cambria Math" w:hAnsi="Cambria Math" w:eastAsia="Times New Roman" w:cs="Times New Roman"/>
                      <w:color w:val="000000"/>
                      <w:sz w:val="28"/>
                      <w:szCs w:val="28"/>
                      <w:lang w:eastAsia="ru-RU"/>
                    </w:rPr>
                  </m:ctrlPr>
                </m:den>
              </m:f>
              <m:r>
                <w:rPr>
                  <w:rFonts w:ascii="Cambria Math" w:hAnsi="Cambria Math" w:eastAsia="Times New Roman" w:cs="Times New Roman"/>
                  <w:color w:val="000000"/>
                  <w:sz w:val="28"/>
                  <w:szCs w:val="28"/>
                  <w:lang w:eastAsia="ru-RU"/>
                </w:rPr>
                <m:t xml:space="preserve"> </m:t>
              </m:r>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где </w:t>
            </w:r>
            <w:r>
              <w:rPr>
                <w:rFonts w:ascii="Times New Roman" w:hAnsi="Times New Roman" w:eastAsia="Times New Roman" w:cs="Times New Roman"/>
                <w:color w:val="000000"/>
                <w:sz w:val="28"/>
                <w:szCs w:val="28"/>
                <w:lang w:val="en-US" w:eastAsia="ru-RU"/>
              </w:rPr>
              <w:t>P</w:t>
            </w:r>
            <w:r>
              <w:rPr>
                <w:rFonts w:ascii="Times New Roman" w:hAnsi="Times New Roman" w:eastAsia="Times New Roman" w:cs="Times New Roman"/>
                <w:color w:val="000000"/>
                <w:sz w:val="28"/>
                <w:szCs w:val="28"/>
                <w:lang w:eastAsia="ru-RU"/>
              </w:rPr>
              <w:t xml:space="preserve"> – потребный рабочий парк, ваг.;</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en-US" w:eastAsia="ru-RU"/>
              </w:rPr>
              <w:t>U</w:t>
            </w:r>
            <w:r>
              <w:rPr>
                <w:rFonts w:ascii="Times New Roman" w:hAnsi="Times New Roman" w:eastAsia="Times New Roman" w:cs="Times New Roman"/>
                <w:color w:val="000000"/>
                <w:sz w:val="28"/>
                <w:szCs w:val="28"/>
                <w:lang w:eastAsia="ru-RU"/>
              </w:rPr>
              <w:t xml:space="preserve"> – работа вагонного парка (ваг./сут).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263" w:type="dxa"/>
            <w:vMerge w:val="continue"/>
          </w:tcPr>
          <w:p>
            <w:pPr>
              <w:spacing w:after="0" w:line="360" w:lineRule="auto"/>
              <w:contextualSpacing/>
              <w:rPr>
                <w:rFonts w:ascii="Times New Roman" w:hAnsi="Times New Roman" w:eastAsia="Calibri" w:cs="Times New Roman"/>
                <w:sz w:val="28"/>
                <w:szCs w:val="28"/>
              </w:rPr>
            </w:pPr>
          </w:p>
        </w:tc>
        <w:tc>
          <w:tcPr>
            <w:tcW w:w="2544" w:type="dxa"/>
            <w:vMerge w:val="continue"/>
          </w:tcPr>
          <w:p>
            <w:pPr>
              <w:spacing w:after="0" w:line="360" w:lineRule="auto"/>
              <w:contextualSpacing/>
              <w:rPr>
                <w:rFonts w:ascii="Times New Roman" w:hAnsi="Times New Roman" w:eastAsia="Calibri" w:cs="Times New Roman"/>
                <w:sz w:val="28"/>
                <w:szCs w:val="28"/>
              </w:rPr>
            </w:pPr>
          </w:p>
        </w:tc>
        <w:tc>
          <w:tcPr>
            <w:tcW w:w="2969" w:type="dxa"/>
          </w:tcPr>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Полный рейс (груженый</w:t>
            </w:r>
          </w:p>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 xml:space="preserve"> и порожний пробег)</w:t>
            </w:r>
          </w:p>
        </w:tc>
        <w:tc>
          <w:tcPr>
            <w:tcW w:w="1176" w:type="dxa"/>
          </w:tcPr>
          <w:p>
            <w:pPr>
              <w:spacing w:after="0" w:line="360" w:lineRule="auto"/>
              <w:rPr>
                <w:rFonts w:ascii="Times New Roman" w:hAnsi="Times New Roman" w:eastAsia="Times New Roman" w:cs="Times New Roman"/>
                <w:color w:val="000000"/>
                <w:sz w:val="28"/>
                <w:szCs w:val="28"/>
                <w:lang w:eastAsia="ru-RU"/>
              </w:rPr>
            </w:pP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Lгр = ∑nS(гр) / Un(гр)</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m</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Lпор = ∑nS(пор) / Кn(пор)</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263" w:type="dxa"/>
            <w:vMerge w:val="continue"/>
          </w:tcPr>
          <w:p>
            <w:pPr>
              <w:spacing w:after="0" w:line="360" w:lineRule="auto"/>
              <w:contextualSpacing/>
              <w:rPr>
                <w:rFonts w:ascii="Times New Roman" w:hAnsi="Times New Roman" w:eastAsia="Calibri" w:cs="Times New Roman"/>
                <w:sz w:val="28"/>
                <w:szCs w:val="28"/>
              </w:rPr>
            </w:pPr>
          </w:p>
        </w:tc>
        <w:tc>
          <w:tcPr>
            <w:tcW w:w="2544" w:type="dxa"/>
            <w:vMerge w:val="continue"/>
          </w:tcPr>
          <w:p>
            <w:pPr>
              <w:spacing w:after="0" w:line="360" w:lineRule="auto"/>
              <w:contextualSpacing/>
              <w:rPr>
                <w:rFonts w:ascii="Times New Roman" w:hAnsi="Times New Roman" w:eastAsia="Calibri" w:cs="Times New Roman"/>
                <w:sz w:val="28"/>
                <w:szCs w:val="28"/>
              </w:rPr>
            </w:pPr>
          </w:p>
        </w:tc>
        <w:tc>
          <w:tcPr>
            <w:tcW w:w="2969" w:type="dxa"/>
          </w:tcPr>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 xml:space="preserve">Простои в ожидании погрузки-выгрузки и после </w:t>
            </w:r>
          </w:p>
        </w:tc>
        <w:tc>
          <w:tcPr>
            <w:tcW w:w="1176" w:type="dxa"/>
          </w:tcPr>
          <w:p>
            <w:pPr>
              <w:spacing w:after="0" w:line="360" w:lineRule="auto"/>
              <w:rPr>
                <w:rFonts w:ascii="Times New Roman" w:hAnsi="Times New Roman" w:eastAsia="Times New Roman" w:cs="Times New Roman"/>
                <w:color w:val="000000"/>
                <w:sz w:val="28"/>
                <w:szCs w:val="28"/>
                <w:lang w:eastAsia="ru-RU"/>
              </w:rPr>
            </w:pP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en-US" w:eastAsia="ru-RU"/>
              </w:rPr>
              <w:t>∑ Un (</w:t>
            </w:r>
            <w:r>
              <w:rPr>
                <w:rFonts w:ascii="Times New Roman" w:hAnsi="Times New Roman" w:eastAsia="Times New Roman" w:cs="Times New Roman"/>
                <w:color w:val="000000"/>
                <w:sz w:val="28"/>
                <w:szCs w:val="28"/>
                <w:lang w:eastAsia="ru-RU"/>
              </w:rPr>
              <w:t>пор</w:t>
            </w:r>
            <w:r>
              <w:rPr>
                <w:rFonts w:ascii="Times New Roman" w:hAnsi="Times New Roman" w:eastAsia="Times New Roman" w:cs="Times New Roman"/>
                <w:color w:val="000000"/>
                <w:sz w:val="28"/>
                <w:szCs w:val="28"/>
                <w:lang w:val="en-US" w:eastAsia="ru-RU"/>
              </w:rPr>
              <w:t xml:space="preserve"> ) = Un1 + Un2+ Un3 + … </w:t>
            </w:r>
            <w:r>
              <w:rPr>
                <w:rFonts w:ascii="Times New Roman" w:hAnsi="Times New Roman" w:eastAsia="Times New Roman" w:cs="Times New Roman"/>
                <w:color w:val="000000"/>
                <w:sz w:val="28"/>
                <w:szCs w:val="28"/>
                <w:lang w:eastAsia="ru-RU"/>
              </w:rPr>
              <w:t>Unm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263" w:type="dxa"/>
            <w:vMerge w:val="continue"/>
          </w:tcPr>
          <w:p>
            <w:pPr>
              <w:spacing w:after="0" w:line="360" w:lineRule="auto"/>
              <w:contextualSpacing/>
              <w:rPr>
                <w:rFonts w:ascii="Times New Roman" w:hAnsi="Times New Roman" w:eastAsia="Calibri" w:cs="Times New Roman"/>
                <w:sz w:val="28"/>
                <w:szCs w:val="28"/>
              </w:rPr>
            </w:pPr>
          </w:p>
        </w:tc>
        <w:tc>
          <w:tcPr>
            <w:tcW w:w="2544" w:type="dxa"/>
            <w:vMerge w:val="continue"/>
          </w:tcPr>
          <w:p>
            <w:pPr>
              <w:spacing w:after="0" w:line="360" w:lineRule="auto"/>
              <w:contextualSpacing/>
              <w:rPr>
                <w:rFonts w:ascii="Times New Roman" w:hAnsi="Times New Roman" w:eastAsia="Calibri" w:cs="Times New Roman"/>
                <w:sz w:val="28"/>
                <w:szCs w:val="28"/>
              </w:rPr>
            </w:pPr>
          </w:p>
        </w:tc>
        <w:tc>
          <w:tcPr>
            <w:tcW w:w="2969" w:type="dxa"/>
          </w:tcPr>
          <w:p>
            <w:pPr>
              <w:spacing w:after="0" w:line="360" w:lineRule="auto"/>
              <w:contextualSpacing/>
              <w:rPr>
                <w:rFonts w:ascii="Times New Roman" w:hAnsi="Times New Roman" w:eastAsia="Calibri" w:cs="Times New Roman"/>
                <w:sz w:val="28"/>
                <w:szCs w:val="28"/>
              </w:rPr>
            </w:pPr>
          </w:p>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Производительность вагона</w:t>
            </w:r>
          </w:p>
          <w:p>
            <w:pPr>
              <w:spacing w:after="0" w:line="360" w:lineRule="auto"/>
              <w:contextualSpacing/>
              <w:rPr>
                <w:rFonts w:ascii="Times New Roman" w:hAnsi="Times New Roman" w:eastAsia="Calibri" w:cs="Times New Roman"/>
                <w:sz w:val="28"/>
                <w:szCs w:val="28"/>
              </w:rPr>
            </w:pPr>
          </w:p>
        </w:tc>
        <w:tc>
          <w:tcPr>
            <w:tcW w:w="1176" w:type="dxa"/>
          </w:tcPr>
          <w:p>
            <w:pPr>
              <w:spacing w:after="0" w:line="360" w:lineRule="auto"/>
              <w:rPr>
                <w:rFonts w:ascii="Times New Roman" w:hAnsi="Times New Roman" w:eastAsia="Times New Roman" w:cs="Times New Roman"/>
                <w:color w:val="000000"/>
                <w:sz w:val="28"/>
                <w:szCs w:val="28"/>
                <w:lang w:eastAsia="ru-RU"/>
              </w:rPr>
            </w:pPr>
          </w:p>
        </w:tc>
        <w:tc>
          <w:tcPr>
            <w:tcW w:w="5631" w:type="dxa"/>
          </w:tcPr>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W</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в</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sSubSup>
                <m:sSubSupPr>
                  <m:ctrlPr>
                    <w:rPr>
                      <w:rFonts w:ascii="Cambria Math" w:hAnsi="Cambria Math" w:eastAsia="Times New Roman" w:cs="Times New Roman"/>
                      <w:i/>
                      <w:color w:val="000000"/>
                      <w:sz w:val="28"/>
                      <w:szCs w:val="28"/>
                      <w:lang w:eastAsia="ru-RU"/>
                    </w:rPr>
                  </m:ctrlPr>
                </m:sSubSupPr>
                <m:e>
                  <m:r>
                    <w:rPr>
                      <w:rFonts w:ascii="Cambria Math" w:hAnsi="Cambria Math" w:eastAsia="Times New Roman" w:cs="Times New Roman"/>
                      <w:color w:val="000000"/>
                      <w:sz w:val="28"/>
                      <w:szCs w:val="28"/>
                      <w:lang w:eastAsia="ru-RU"/>
                    </w:rPr>
                    <m:t>P</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д</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p>
              </m:sSubSup>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в</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m:oMath>
              <m:sSubSup>
                <m:sSubSupPr>
                  <m:ctrlPr>
                    <w:rPr>
                      <w:rFonts w:ascii="Cambria Math" w:hAnsi="Cambria Math" w:eastAsia="Times New Roman" w:cs="Times New Roman"/>
                      <w:i/>
                      <w:color w:val="000000"/>
                      <w:sz w:val="28"/>
                      <w:szCs w:val="28"/>
                      <w:lang w:eastAsia="ru-RU"/>
                    </w:rPr>
                  </m:ctrlPr>
                </m:sSubSupPr>
                <m:e>
                  <m:r>
                    <w:rPr>
                      <w:rFonts w:ascii="Cambria Math" w:hAnsi="Cambria Math" w:eastAsia="Times New Roman" w:cs="Times New Roman"/>
                      <w:color w:val="000000"/>
                      <w:sz w:val="28"/>
                      <w:szCs w:val="28"/>
                      <w:lang w:eastAsia="ru-RU"/>
                    </w:rPr>
                    <m:t>P</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д</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p>
              </m:sSubSup>
            </m:oMath>
            <w:r>
              <w:rPr>
                <w:rFonts w:ascii="Times New Roman" w:hAnsi="Times New Roman" w:eastAsia="Times New Roman" w:cs="Times New Roman"/>
                <w:color w:val="000000"/>
                <w:sz w:val="28"/>
                <w:szCs w:val="28"/>
                <w:lang w:eastAsia="ru-RU"/>
              </w:rPr>
              <w:t xml:space="preserve"> – динамическая нагрузка вагона рабочего парка</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в</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среднесуточный пробег вагона, ваг/км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263" w:type="dxa"/>
            <w:vMerge w:val="restart"/>
          </w:tcPr>
          <w:p>
            <w:pPr>
              <w:spacing w:after="0" w:line="360" w:lineRule="auto"/>
              <w:contextualSpacing/>
              <w:rPr>
                <w:rFonts w:ascii="Times New Roman" w:hAnsi="Times New Roman" w:eastAsia="Calibri" w:cs="Times New Roman"/>
                <w:b/>
                <w:sz w:val="28"/>
                <w:szCs w:val="28"/>
              </w:rPr>
            </w:pPr>
            <w:bookmarkStart w:id="4" w:name="_Hlk536744692"/>
            <w:r>
              <w:rPr>
                <w:rFonts w:ascii="Times New Roman" w:hAnsi="Times New Roman" w:eastAsia="Calibri" w:cs="Times New Roman"/>
                <w:b/>
                <w:sz w:val="28"/>
                <w:szCs w:val="28"/>
              </w:rPr>
              <w:t>Лунина Т.А.,</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Calibri" w:cs="Times New Roman"/>
                <w:b/>
                <w:sz w:val="28"/>
                <w:szCs w:val="28"/>
              </w:rPr>
              <w:t>Северова М.О.</w:t>
            </w:r>
            <w:bookmarkEnd w:id="4"/>
            <w:r>
              <w:rPr>
                <w:rFonts w:ascii="Times New Roman" w:hAnsi="Times New Roman" w:eastAsia="Calibri" w:cs="Times New Roman"/>
                <w:sz w:val="28"/>
                <w:szCs w:val="28"/>
              </w:rPr>
              <w:t xml:space="preserve"> [8]</w:t>
            </w:r>
          </w:p>
        </w:tc>
        <w:tc>
          <w:tcPr>
            <w:tcW w:w="2544" w:type="dxa"/>
            <w:vMerge w:val="restart"/>
          </w:tcPr>
          <w:p>
            <w:pPr>
              <w:spacing w:after="0" w:line="360" w:lineRule="auto"/>
              <w:rPr>
                <w:rFonts w:ascii="Times New Roman" w:hAnsi="Times New Roman" w:eastAsia="Times New Roman" w:cs="Times New Roman"/>
                <w:color w:val="000000"/>
                <w:sz w:val="28"/>
                <w:szCs w:val="28"/>
                <w:lang w:eastAsia="ru-RU"/>
              </w:rPr>
            </w:pPr>
            <w:bookmarkStart w:id="5" w:name="_Hlk536744660"/>
            <w:r>
              <w:rPr>
                <w:rFonts w:ascii="Times New Roman" w:hAnsi="Times New Roman" w:eastAsia="Calibri" w:cs="Times New Roman"/>
                <w:sz w:val="28"/>
                <w:szCs w:val="28"/>
              </w:rPr>
              <w:t>«Моделирование парка подвижного состава при изменении экономической конъюнктуры рынка»//Экономика ж.д.-2015, №5,с 340</w:t>
            </w:r>
            <w:bookmarkEnd w:id="5"/>
            <w:r>
              <w:rPr>
                <w:rFonts w:ascii="Times New Roman" w:hAnsi="Times New Roman" w:eastAsia="Calibri" w:cs="Times New Roman"/>
                <w:sz w:val="28"/>
                <w:szCs w:val="28"/>
              </w:rPr>
              <w:t xml:space="preserve"> [8]</w:t>
            </w:r>
          </w:p>
        </w:tc>
        <w:tc>
          <w:tcPr>
            <w:tcW w:w="2969" w:type="dxa"/>
          </w:tcPr>
          <w:p>
            <w:pPr>
              <w:spacing w:after="0" w:line="360" w:lineRule="auto"/>
              <w:contextualSpacing/>
              <w:rPr>
                <w:rFonts w:ascii="Times New Roman" w:hAnsi="Times New Roman" w:eastAsia="Times New Roman" w:cs="Times New Roman"/>
                <w:color w:val="000000"/>
                <w:sz w:val="28"/>
                <w:szCs w:val="28"/>
                <w:lang w:eastAsia="ru-RU"/>
              </w:rPr>
            </w:pPr>
            <w:r>
              <w:rPr>
                <w:rFonts w:ascii="Times New Roman" w:hAnsi="Times New Roman" w:eastAsia="Calibri" w:cs="Times New Roman"/>
                <w:sz w:val="28"/>
                <w:szCs w:val="28"/>
              </w:rPr>
              <w:t>Оборот вагона</w:t>
            </w:r>
          </w:p>
        </w:tc>
        <w:tc>
          <w:tcPr>
            <w:tcW w:w="1176"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ваг/сут</w:t>
            </w:r>
          </w:p>
        </w:tc>
        <w:tc>
          <w:tcPr>
            <w:tcW w:w="5631" w:type="dxa"/>
          </w:tcPr>
          <w:p>
            <w:pPr>
              <w:spacing w:after="0" w:line="360" w:lineRule="auto"/>
              <w:rPr>
                <w:rFonts w:ascii="Times New Roman" w:hAnsi="Times New Roman" w:eastAsia="Times New Roman" w:cs="Times New Roman"/>
                <w:color w:val="000000"/>
                <w:sz w:val="28"/>
                <w:szCs w:val="28"/>
                <w:lang w:eastAsia="ru-RU"/>
              </w:rPr>
            </w:pPr>
            <m:oMath>
              <m:r>
                <m:rPr>
                  <m:sty m:val="p"/>
                </m:rPr>
                <w:rPr>
                  <w:rFonts w:ascii="Cambria Math" w:hAnsi="Cambria Math" w:eastAsia="Times New Roman" w:cs="Times New Roman"/>
                  <w:color w:val="000000"/>
                  <w:sz w:val="28"/>
                  <w:szCs w:val="28"/>
                  <w:lang w:val="en-US" w:eastAsia="ru-RU"/>
                </w:rPr>
                <m:t>θ</m:t>
              </m:r>
              <m:r>
                <m:rPr>
                  <m:sty m:val="p"/>
                </m:rPr>
                <w:rPr>
                  <w:rFonts w:ascii="Cambria Math" w:hAnsi="Cambria Math" w:eastAsia="Times New Roman" w:cs="Times New Roman"/>
                  <w:color w:val="000000"/>
                  <w:sz w:val="28"/>
                  <w:szCs w:val="28"/>
                  <w:lang w:eastAsia="ru-RU"/>
                </w:rPr>
                <m:t xml:space="preserve"> =</m:t>
              </m:r>
              <m:f>
                <m:fPr>
                  <m:ctrlPr>
                    <w:rPr>
                      <w:rFonts w:ascii="Cambria Math" w:hAnsi="Cambria Math" w:eastAsia="Times New Roman" w:cs="Times New Roman"/>
                      <w:color w:val="000000"/>
                      <w:sz w:val="28"/>
                      <w:szCs w:val="28"/>
                      <w:lang w:eastAsia="ru-RU"/>
                    </w:rPr>
                  </m:ctrlPr>
                </m:fPr>
                <m:num>
                  <m:r>
                    <m:rPr>
                      <m:sty m:val="p"/>
                    </m:rPr>
                    <w:rPr>
                      <w:rFonts w:ascii="Cambria Math" w:hAnsi="Cambria Math" w:eastAsia="Times New Roman" w:cs="Times New Roman"/>
                      <w:color w:val="000000"/>
                      <w:sz w:val="28"/>
                      <w:szCs w:val="28"/>
                      <w:lang w:val="en-US" w:eastAsia="ru-RU"/>
                    </w:rPr>
                    <m:t>P</m:t>
                  </m:r>
                  <m:ctrlPr>
                    <w:rPr>
                      <w:rFonts w:ascii="Cambria Math" w:hAnsi="Cambria Math" w:eastAsia="Times New Roman" w:cs="Times New Roman"/>
                      <w:color w:val="000000"/>
                      <w:sz w:val="28"/>
                      <w:szCs w:val="28"/>
                      <w:lang w:eastAsia="ru-RU"/>
                    </w:rPr>
                  </m:ctrlPr>
                </m:num>
                <m:den>
                  <m:r>
                    <w:rPr>
                      <w:rFonts w:ascii="Cambria Math" w:hAnsi="Cambria Math" w:eastAsia="Times New Roman" w:cs="Times New Roman"/>
                      <w:color w:val="000000"/>
                      <w:sz w:val="28"/>
                      <w:szCs w:val="28"/>
                      <w:lang w:val="en-US" w:eastAsia="ru-RU"/>
                    </w:rPr>
                    <m:t>U</m:t>
                  </m:r>
                  <m:ctrlPr>
                    <w:rPr>
                      <w:rFonts w:ascii="Cambria Math" w:hAnsi="Cambria Math" w:eastAsia="Times New Roman" w:cs="Times New Roman"/>
                      <w:color w:val="000000"/>
                      <w:sz w:val="28"/>
                      <w:szCs w:val="28"/>
                      <w:lang w:eastAsia="ru-RU"/>
                    </w:rPr>
                  </m:ctrlPr>
                </m:den>
              </m:f>
              <m:r>
                <w:rPr>
                  <w:rFonts w:ascii="Cambria Math" w:hAnsi="Cambria Math" w:eastAsia="Times New Roman" w:cs="Times New Roman"/>
                  <w:color w:val="000000"/>
                  <w:sz w:val="28"/>
                  <w:szCs w:val="28"/>
                  <w:lang w:eastAsia="ru-RU"/>
                </w:rPr>
                <m:t xml:space="preserve"> </m:t>
              </m:r>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где </w:t>
            </w:r>
            <w:r>
              <w:rPr>
                <w:rFonts w:ascii="Times New Roman" w:hAnsi="Times New Roman" w:eastAsia="Times New Roman" w:cs="Times New Roman"/>
                <w:color w:val="000000"/>
                <w:sz w:val="28"/>
                <w:szCs w:val="28"/>
                <w:lang w:val="en-US" w:eastAsia="ru-RU"/>
              </w:rPr>
              <w:t>P</w:t>
            </w:r>
            <w:r>
              <w:rPr>
                <w:rFonts w:ascii="Times New Roman" w:hAnsi="Times New Roman" w:eastAsia="Times New Roman" w:cs="Times New Roman"/>
                <w:color w:val="000000"/>
                <w:sz w:val="28"/>
                <w:szCs w:val="28"/>
                <w:lang w:eastAsia="ru-RU"/>
              </w:rPr>
              <w:t xml:space="preserve"> – потребный рабочий парк, ваг.;</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en-US" w:eastAsia="ru-RU"/>
              </w:rPr>
              <w:t>U</w:t>
            </w:r>
            <w:r>
              <w:rPr>
                <w:rFonts w:ascii="Times New Roman" w:hAnsi="Times New Roman" w:eastAsia="Times New Roman" w:cs="Times New Roman"/>
                <w:color w:val="000000"/>
                <w:sz w:val="28"/>
                <w:szCs w:val="28"/>
                <w:lang w:eastAsia="ru-RU"/>
              </w:rPr>
              <w:t xml:space="preserve"> – работа вагонного парка (ваг./сут).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263" w:type="dxa"/>
            <w:vMerge w:val="continue"/>
          </w:tcPr>
          <w:p>
            <w:pPr>
              <w:spacing w:after="0" w:line="360" w:lineRule="auto"/>
              <w:contextualSpacing/>
              <w:rPr>
                <w:rFonts w:ascii="Times New Roman" w:hAnsi="Times New Roman" w:eastAsia="Calibri" w:cs="Times New Roman"/>
                <w:sz w:val="28"/>
                <w:szCs w:val="28"/>
              </w:rPr>
            </w:pPr>
          </w:p>
        </w:tc>
        <w:tc>
          <w:tcPr>
            <w:tcW w:w="2544" w:type="dxa"/>
            <w:vMerge w:val="continue"/>
          </w:tcPr>
          <w:p>
            <w:pPr>
              <w:spacing w:after="0" w:line="360" w:lineRule="auto"/>
              <w:rPr>
                <w:rFonts w:ascii="Times New Roman" w:hAnsi="Times New Roman" w:eastAsia="Calibri" w:cs="Times New Roman"/>
                <w:sz w:val="28"/>
                <w:szCs w:val="28"/>
              </w:rPr>
            </w:pPr>
          </w:p>
        </w:tc>
        <w:tc>
          <w:tcPr>
            <w:tcW w:w="2969" w:type="dxa"/>
          </w:tcPr>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Полный рейс (груженый</w:t>
            </w:r>
          </w:p>
          <w:p>
            <w:pPr>
              <w:spacing w:after="0" w:line="360" w:lineRule="auto"/>
              <w:contextualSpacing/>
              <w:rPr>
                <w:rFonts w:ascii="Times New Roman" w:hAnsi="Times New Roman" w:eastAsia="Times New Roman" w:cs="Times New Roman"/>
                <w:color w:val="000000"/>
                <w:sz w:val="28"/>
                <w:szCs w:val="28"/>
                <w:lang w:eastAsia="ru-RU"/>
              </w:rPr>
            </w:pPr>
            <w:r>
              <w:rPr>
                <w:rFonts w:ascii="Times New Roman" w:hAnsi="Times New Roman" w:eastAsia="Calibri" w:cs="Times New Roman"/>
                <w:sz w:val="28"/>
                <w:szCs w:val="28"/>
              </w:rPr>
              <w:t xml:space="preserve"> и порожний пробег)</w:t>
            </w:r>
          </w:p>
        </w:tc>
        <w:tc>
          <w:tcPr>
            <w:tcW w:w="1176" w:type="dxa"/>
          </w:tcPr>
          <w:p>
            <w:pPr>
              <w:spacing w:after="0" w:line="360" w:lineRule="auto"/>
              <w:rPr>
                <w:rFonts w:ascii="Times New Roman" w:hAnsi="Times New Roman" w:eastAsia="Times New Roman" w:cs="Times New Roman"/>
                <w:color w:val="000000"/>
                <w:sz w:val="28"/>
                <w:szCs w:val="28"/>
                <w:lang w:eastAsia="ru-RU"/>
              </w:rPr>
            </w:pP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Lгр = ∑nS(гр) / Un(гр)</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m</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Lпор =∑nS(пор) / Кn(пор)</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263" w:type="dxa"/>
            <w:vMerge w:val="continue"/>
          </w:tcPr>
          <w:p>
            <w:pPr>
              <w:spacing w:after="0" w:line="360" w:lineRule="auto"/>
              <w:contextualSpacing/>
              <w:rPr>
                <w:rFonts w:ascii="Times New Roman" w:hAnsi="Times New Roman" w:eastAsia="Calibri" w:cs="Times New Roman"/>
                <w:sz w:val="28"/>
                <w:szCs w:val="28"/>
              </w:rPr>
            </w:pPr>
          </w:p>
        </w:tc>
        <w:tc>
          <w:tcPr>
            <w:tcW w:w="2544" w:type="dxa"/>
            <w:vMerge w:val="continue"/>
          </w:tcPr>
          <w:p>
            <w:pPr>
              <w:spacing w:after="0" w:line="360" w:lineRule="auto"/>
              <w:rPr>
                <w:rFonts w:ascii="Times New Roman" w:hAnsi="Times New Roman" w:eastAsia="Calibri" w:cs="Times New Roman"/>
                <w:sz w:val="28"/>
                <w:szCs w:val="28"/>
              </w:rPr>
            </w:pPr>
          </w:p>
        </w:tc>
        <w:tc>
          <w:tcPr>
            <w:tcW w:w="2969" w:type="dxa"/>
          </w:tcPr>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 xml:space="preserve">Простои в ожидании погрузки-выгрузки и после </w:t>
            </w:r>
          </w:p>
        </w:tc>
        <w:tc>
          <w:tcPr>
            <w:tcW w:w="1176" w:type="dxa"/>
          </w:tcPr>
          <w:p>
            <w:pPr>
              <w:spacing w:after="0" w:line="360" w:lineRule="auto"/>
              <w:rPr>
                <w:rFonts w:ascii="Times New Roman" w:hAnsi="Times New Roman" w:eastAsia="Times New Roman" w:cs="Times New Roman"/>
                <w:color w:val="000000"/>
                <w:sz w:val="28"/>
                <w:szCs w:val="28"/>
                <w:lang w:eastAsia="ru-RU"/>
              </w:rPr>
            </w:pPr>
          </w:p>
        </w:tc>
        <w:tc>
          <w:tcPr>
            <w:tcW w:w="5631"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en-US" w:eastAsia="ru-RU"/>
              </w:rPr>
              <w:t>∑ Un (</w:t>
            </w:r>
            <w:r>
              <w:rPr>
                <w:rFonts w:ascii="Times New Roman" w:hAnsi="Times New Roman" w:eastAsia="Times New Roman" w:cs="Times New Roman"/>
                <w:color w:val="000000"/>
                <w:sz w:val="28"/>
                <w:szCs w:val="28"/>
                <w:lang w:eastAsia="ru-RU"/>
              </w:rPr>
              <w:t>пор</w:t>
            </w:r>
            <w:r>
              <w:rPr>
                <w:rFonts w:ascii="Times New Roman" w:hAnsi="Times New Roman" w:eastAsia="Times New Roman" w:cs="Times New Roman"/>
                <w:color w:val="000000"/>
                <w:sz w:val="28"/>
                <w:szCs w:val="28"/>
                <w:lang w:val="en-US" w:eastAsia="ru-RU"/>
              </w:rPr>
              <w:t xml:space="preserve"> ) = Un1 + Un2+ Un3 + … </w:t>
            </w:r>
            <w:r>
              <w:rPr>
                <w:rFonts w:ascii="Times New Roman" w:hAnsi="Times New Roman" w:eastAsia="Times New Roman" w:cs="Times New Roman"/>
                <w:color w:val="000000"/>
                <w:sz w:val="28"/>
                <w:szCs w:val="28"/>
                <w:lang w:eastAsia="ru-RU"/>
              </w:rPr>
              <w:t>Unm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263" w:type="dxa"/>
            <w:vMerge w:val="continue"/>
          </w:tcPr>
          <w:p>
            <w:pPr>
              <w:spacing w:after="0" w:line="360" w:lineRule="auto"/>
              <w:contextualSpacing/>
              <w:rPr>
                <w:rFonts w:ascii="Times New Roman" w:hAnsi="Times New Roman" w:eastAsia="Calibri" w:cs="Times New Roman"/>
                <w:sz w:val="28"/>
                <w:szCs w:val="28"/>
              </w:rPr>
            </w:pPr>
          </w:p>
        </w:tc>
        <w:tc>
          <w:tcPr>
            <w:tcW w:w="2544" w:type="dxa"/>
            <w:vMerge w:val="continue"/>
          </w:tcPr>
          <w:p>
            <w:pPr>
              <w:spacing w:after="0" w:line="360" w:lineRule="auto"/>
              <w:rPr>
                <w:rFonts w:ascii="Times New Roman" w:hAnsi="Times New Roman" w:eastAsia="Calibri" w:cs="Times New Roman"/>
                <w:sz w:val="28"/>
                <w:szCs w:val="28"/>
              </w:rPr>
            </w:pPr>
          </w:p>
        </w:tc>
        <w:tc>
          <w:tcPr>
            <w:tcW w:w="2969" w:type="dxa"/>
          </w:tcPr>
          <w:p>
            <w:pPr>
              <w:spacing w:after="0" w:line="360" w:lineRule="auto"/>
              <w:contextualSpacing/>
              <w:rPr>
                <w:rFonts w:ascii="Times New Roman" w:hAnsi="Times New Roman" w:eastAsia="Calibri" w:cs="Times New Roman"/>
                <w:sz w:val="28"/>
                <w:szCs w:val="28"/>
              </w:rPr>
            </w:pPr>
          </w:p>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Производительность вагона</w:t>
            </w:r>
          </w:p>
          <w:p>
            <w:pPr>
              <w:spacing w:after="0" w:line="360" w:lineRule="auto"/>
              <w:contextualSpacing/>
              <w:rPr>
                <w:rFonts w:ascii="Times New Roman" w:hAnsi="Times New Roman" w:eastAsia="Times New Roman" w:cs="Times New Roman"/>
                <w:color w:val="000000"/>
                <w:sz w:val="28"/>
                <w:szCs w:val="28"/>
                <w:lang w:eastAsia="ru-RU"/>
              </w:rPr>
            </w:pPr>
          </w:p>
        </w:tc>
        <w:tc>
          <w:tcPr>
            <w:tcW w:w="1176" w:type="dxa"/>
          </w:tcPr>
          <w:p>
            <w:pPr>
              <w:spacing w:after="0" w:line="360" w:lineRule="auto"/>
              <w:jc w:val="center"/>
              <w:rPr>
                <w:rFonts w:ascii="Times New Roman" w:hAnsi="Times New Roman" w:eastAsia="Times New Roman" w:cs="Times New Roman"/>
                <w:color w:val="000000"/>
                <w:sz w:val="28"/>
                <w:szCs w:val="28"/>
                <w:lang w:eastAsia="ru-RU"/>
              </w:rPr>
            </w:pPr>
          </w:p>
          <w:p>
            <w:pPr>
              <w:spacing w:after="0" w:line="36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тонн/км</w:t>
            </w:r>
          </w:p>
        </w:tc>
        <w:tc>
          <w:tcPr>
            <w:tcW w:w="5631" w:type="dxa"/>
          </w:tcPr>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W</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в</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sSubSup>
                <m:sSubSupPr>
                  <m:ctrlPr>
                    <w:rPr>
                      <w:rFonts w:ascii="Cambria Math" w:hAnsi="Cambria Math" w:eastAsia="Times New Roman" w:cs="Times New Roman"/>
                      <w:i/>
                      <w:color w:val="000000"/>
                      <w:sz w:val="28"/>
                      <w:szCs w:val="28"/>
                      <w:lang w:eastAsia="ru-RU"/>
                    </w:rPr>
                  </m:ctrlPr>
                </m:sSubSupPr>
                <m:e>
                  <m:r>
                    <w:rPr>
                      <w:rFonts w:ascii="Cambria Math" w:hAnsi="Cambria Math" w:eastAsia="Times New Roman" w:cs="Times New Roman"/>
                      <w:color w:val="000000"/>
                      <w:sz w:val="28"/>
                      <w:szCs w:val="28"/>
                      <w:lang w:eastAsia="ru-RU"/>
                    </w:rPr>
                    <m:t>P</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д</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p>
              </m:sSubSup>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в</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m:oMath>
              <m:sSubSup>
                <m:sSubSupPr>
                  <m:ctrlPr>
                    <w:rPr>
                      <w:rFonts w:ascii="Cambria Math" w:hAnsi="Cambria Math" w:eastAsia="Times New Roman" w:cs="Times New Roman"/>
                      <w:i/>
                      <w:color w:val="000000"/>
                      <w:sz w:val="28"/>
                      <w:szCs w:val="28"/>
                      <w:lang w:eastAsia="ru-RU"/>
                    </w:rPr>
                  </m:ctrlPr>
                </m:sSubSupPr>
                <m:e>
                  <m:r>
                    <w:rPr>
                      <w:rFonts w:ascii="Cambria Math" w:hAnsi="Cambria Math" w:eastAsia="Times New Roman" w:cs="Times New Roman"/>
                      <w:color w:val="000000"/>
                      <w:sz w:val="28"/>
                      <w:szCs w:val="28"/>
                      <w:lang w:eastAsia="ru-RU"/>
                    </w:rPr>
                    <m:t>P</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д</m:t>
                  </m:r>
                  <m:ctrlPr>
                    <w:rPr>
                      <w:rFonts w:ascii="Cambria Math" w:hAnsi="Cambria Math" w:eastAsia="Times New Roman" w:cs="Times New Roman"/>
                      <w:i/>
                      <w:color w:val="000000"/>
                      <w:sz w:val="28"/>
                      <w:szCs w:val="28"/>
                      <w:lang w:eastAsia="ru-RU"/>
                    </w:rPr>
                  </m:ctrlPr>
                </m:sub>
                <m:sup>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p>
              </m:sSubSup>
            </m:oMath>
            <w:r>
              <w:rPr>
                <w:rFonts w:ascii="Times New Roman" w:hAnsi="Times New Roman" w:eastAsia="Times New Roman" w:cs="Times New Roman"/>
                <w:color w:val="000000"/>
                <w:sz w:val="28"/>
                <w:szCs w:val="28"/>
                <w:lang w:eastAsia="ru-RU"/>
              </w:rPr>
              <w:t xml:space="preserve"> – динамическая нагрузка вагона рабочего парка</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в</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среднесуточный пробег вагона, ваг/км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jc w:val="center"/>
        </w:trPr>
        <w:tc>
          <w:tcPr>
            <w:tcW w:w="2263" w:type="dxa"/>
            <w:vMerge w:val="restart"/>
          </w:tcPr>
          <w:p>
            <w:pPr>
              <w:spacing w:after="0" w:line="360" w:lineRule="auto"/>
              <w:rPr>
                <w:rFonts w:ascii="Times New Roman" w:hAnsi="Times New Roman" w:eastAsia="Calibri" w:cs="Times New Roman"/>
                <w:bCs/>
                <w:sz w:val="28"/>
                <w:szCs w:val="28"/>
              </w:rPr>
            </w:pPr>
          </w:p>
          <w:p>
            <w:pPr>
              <w:spacing w:after="0" w:line="360" w:lineRule="auto"/>
              <w:rPr>
                <w:rFonts w:ascii="Times New Roman" w:hAnsi="Times New Roman" w:eastAsia="Calibri" w:cs="Times New Roman"/>
                <w:bCs/>
                <w:sz w:val="28"/>
                <w:szCs w:val="28"/>
              </w:rPr>
            </w:pPr>
          </w:p>
          <w:p>
            <w:pPr>
              <w:spacing w:after="0" w:line="360" w:lineRule="auto"/>
              <w:rPr>
                <w:rFonts w:ascii="Times New Roman" w:hAnsi="Times New Roman" w:eastAsia="Calibri" w:cs="Times New Roman"/>
                <w:bCs/>
                <w:sz w:val="28"/>
                <w:szCs w:val="28"/>
              </w:rPr>
            </w:pPr>
          </w:p>
          <w:p>
            <w:pPr>
              <w:spacing w:after="0" w:line="360" w:lineRule="auto"/>
              <w:rPr>
                <w:rFonts w:ascii="Times New Roman" w:hAnsi="Times New Roman" w:eastAsia="Calibri" w:cs="Times New Roman"/>
                <w:bCs/>
                <w:sz w:val="28"/>
                <w:szCs w:val="28"/>
              </w:rPr>
            </w:pPr>
          </w:p>
          <w:p>
            <w:pPr>
              <w:spacing w:after="0" w:line="360" w:lineRule="auto"/>
              <w:rPr>
                <w:rFonts w:ascii="Times New Roman" w:hAnsi="Times New Roman" w:eastAsia="Calibri" w:cs="Times New Roman"/>
                <w:bCs/>
                <w:sz w:val="28"/>
                <w:szCs w:val="28"/>
              </w:rPr>
            </w:pPr>
          </w:p>
          <w:p>
            <w:pPr>
              <w:spacing w:after="0" w:line="360" w:lineRule="auto"/>
              <w:rPr>
                <w:rFonts w:ascii="Times New Roman" w:hAnsi="Times New Roman" w:eastAsia="Calibri" w:cs="Times New Roman"/>
                <w:bCs/>
                <w:sz w:val="28"/>
                <w:szCs w:val="28"/>
              </w:rPr>
            </w:pPr>
          </w:p>
          <w:p>
            <w:pPr>
              <w:spacing w:after="0" w:line="360" w:lineRule="auto"/>
              <w:rPr>
                <w:rFonts w:ascii="Times New Roman" w:hAnsi="Times New Roman" w:eastAsia="Calibri" w:cs="Times New Roman"/>
                <w:bCs/>
                <w:sz w:val="28"/>
                <w:szCs w:val="28"/>
              </w:rPr>
            </w:pPr>
          </w:p>
          <w:p>
            <w:pPr>
              <w:spacing w:after="0" w:line="360" w:lineRule="auto"/>
              <w:rPr>
                <w:rFonts w:ascii="Times New Roman" w:hAnsi="Times New Roman" w:eastAsia="Times New Roman" w:cs="Times New Roman"/>
                <w:color w:val="000000"/>
                <w:sz w:val="28"/>
                <w:szCs w:val="28"/>
                <w:lang w:val="en-US" w:eastAsia="ru-RU"/>
              </w:rPr>
            </w:pPr>
            <w:r>
              <w:rPr>
                <w:rFonts w:ascii="Times New Roman" w:hAnsi="Times New Roman" w:eastAsia="Calibri" w:cs="Times New Roman"/>
                <w:b/>
                <w:bCs/>
                <w:sz w:val="28"/>
                <w:szCs w:val="28"/>
              </w:rPr>
              <w:t xml:space="preserve">МИНИСТЕРСТВО ТРАНСПОРТА РОССИЙСКОЙ ФЕДЕРАЦИИ </w:t>
            </w:r>
            <w:r>
              <w:rPr>
                <w:rFonts w:ascii="Times New Roman" w:hAnsi="Times New Roman" w:eastAsia="Times New Roman" w:cs="Times New Roman"/>
                <w:color w:val="000000"/>
                <w:sz w:val="28"/>
                <w:szCs w:val="28"/>
                <w:lang w:val="en-US" w:eastAsia="ru-RU"/>
              </w:rPr>
              <w:t>[</w:t>
            </w:r>
            <w:r>
              <w:rPr>
                <w:rFonts w:ascii="Times New Roman" w:hAnsi="Times New Roman" w:eastAsia="Times New Roman" w:cs="Times New Roman"/>
                <w:color w:val="000000"/>
                <w:sz w:val="28"/>
                <w:szCs w:val="28"/>
                <w:lang w:eastAsia="ru-RU"/>
              </w:rPr>
              <w:t>1</w:t>
            </w:r>
            <w:r>
              <w:rPr>
                <w:rFonts w:ascii="Times New Roman" w:hAnsi="Times New Roman" w:eastAsia="Times New Roman" w:cs="Times New Roman"/>
                <w:color w:val="000000"/>
                <w:sz w:val="28"/>
                <w:szCs w:val="28"/>
                <w:lang w:val="en-US" w:eastAsia="ru-RU"/>
              </w:rPr>
              <w:t>]</w:t>
            </w:r>
          </w:p>
          <w:p>
            <w:pPr>
              <w:spacing w:after="0" w:line="360" w:lineRule="auto"/>
              <w:rPr>
                <w:rFonts w:ascii="Times New Roman" w:hAnsi="Times New Roman" w:eastAsia="Times New Roman" w:cs="Times New Roman"/>
                <w:b/>
                <w:color w:val="000000"/>
                <w:sz w:val="28"/>
                <w:szCs w:val="28"/>
                <w:lang w:eastAsia="ru-RU"/>
              </w:rPr>
            </w:pPr>
            <w:r>
              <w:rPr>
                <w:rFonts w:ascii="Times New Roman" w:hAnsi="Times New Roman" w:eastAsia="Calibri" w:cs="Times New Roman"/>
                <w:b/>
                <w:bCs/>
                <w:sz w:val="28"/>
                <w:szCs w:val="28"/>
              </w:rPr>
              <w:t xml:space="preserve">     </w:t>
            </w:r>
          </w:p>
        </w:tc>
        <w:tc>
          <w:tcPr>
            <w:tcW w:w="2544" w:type="dxa"/>
            <w:vMerge w:val="restart"/>
          </w:tcPr>
          <w:p>
            <w:pPr>
              <w:spacing w:after="0" w:line="360" w:lineRule="auto"/>
              <w:rPr>
                <w:rFonts w:ascii="Times New Roman" w:hAnsi="Times New Roman" w:eastAsia="Times New Roman" w:cs="Times New Roman"/>
                <w:color w:val="000000"/>
                <w:sz w:val="28"/>
                <w:szCs w:val="28"/>
                <w:lang w:eastAsia="ru-RU"/>
              </w:rPr>
            </w:pPr>
            <w:bookmarkStart w:id="6" w:name="_Hlk536744744"/>
            <w:r>
              <w:rPr>
                <w:rFonts w:ascii="Times New Roman" w:hAnsi="Times New Roman" w:eastAsia="Calibri" w:cs="Times New Roman"/>
                <w:bCs/>
                <w:sz w:val="28"/>
                <w:szCs w:val="28"/>
              </w:rPr>
              <w:t>«Об утверждении Порядка мониторинга обеспечения железнодорожным подвижным составом грузовладельцев и использования железнодорожного подвижного состава участниками перевозочного процесса и Методики оценки эффективности использования железнодорожного подвижного состава»</w:t>
            </w:r>
            <w:r>
              <w:rPr>
                <w:rFonts w:ascii="Times New Roman" w:hAnsi="Times New Roman" w:eastAsia="Times New Roman" w:cs="Times New Roman"/>
                <w:color w:val="000000"/>
                <w:sz w:val="28"/>
                <w:szCs w:val="28"/>
                <w:lang w:eastAsia="ru-RU"/>
              </w:rPr>
              <w:t xml:space="preserve"> [1]</w:t>
            </w:r>
          </w:p>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bCs/>
                <w:sz w:val="28"/>
                <w:szCs w:val="28"/>
              </w:rPr>
              <w:t>МИНИСТЕРСТВО ТРАНСПОРТА РОССИЙСКОЙ ФЕДЕРАЦИИ     ПРИКАЗ                         от 5 мая 2012 года N 136</w:t>
            </w:r>
          </w:p>
          <w:bookmarkEnd w:id="6"/>
          <w:p>
            <w:pPr>
              <w:spacing w:after="0" w:line="360" w:lineRule="auto"/>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color w:val="000000"/>
                <w:sz w:val="28"/>
                <w:szCs w:val="28"/>
                <w:lang w:val="en-US" w:eastAsia="ru-RU"/>
              </w:rPr>
              <w:t>[</w:t>
            </w:r>
            <w:r>
              <w:rPr>
                <w:rFonts w:ascii="Times New Roman" w:hAnsi="Times New Roman" w:eastAsia="Times New Roman" w:cs="Times New Roman"/>
                <w:color w:val="000000"/>
                <w:sz w:val="28"/>
                <w:szCs w:val="28"/>
                <w:lang w:eastAsia="ru-RU"/>
              </w:rPr>
              <w:t>1</w:t>
            </w:r>
            <w:r>
              <w:rPr>
                <w:rFonts w:ascii="Times New Roman" w:hAnsi="Times New Roman" w:eastAsia="Times New Roman" w:cs="Times New Roman"/>
                <w:color w:val="000000"/>
                <w:sz w:val="28"/>
                <w:szCs w:val="28"/>
                <w:lang w:val="en-US" w:eastAsia="ru-RU"/>
              </w:rPr>
              <w:t>]</w:t>
            </w: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tc>
        <w:tc>
          <w:tcPr>
            <w:tcW w:w="2969"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Оборот вагона по составляющим:</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-в движении;</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-простой на технических станциях;</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-простой под грузовыми операциями, в том числе на местах необщего пользования;</w:t>
            </w:r>
          </w:p>
        </w:tc>
        <w:tc>
          <w:tcPr>
            <w:tcW w:w="1176"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сут.</w:t>
            </w:r>
          </w:p>
        </w:tc>
        <w:tc>
          <w:tcPr>
            <w:tcW w:w="5631" w:type="dxa"/>
          </w:tcPr>
          <w:p>
            <w:pPr>
              <w:spacing w:after="0" w:line="360" w:lineRule="auto"/>
              <w:contextualSpacing/>
              <w:rPr>
                <w:rFonts w:ascii="Times New Roman" w:hAnsi="Times New Roman" w:eastAsia="Times New Roman" w:cs="Times New Roman"/>
                <w:sz w:val="28"/>
                <w:szCs w:val="28"/>
                <w:lang w:eastAsia="ru-RU"/>
              </w:rPr>
            </w:pPr>
          </w:p>
          <w:p>
            <w:pPr>
              <w:spacing w:after="0" w:line="360" w:lineRule="auto"/>
              <w:contextualSpacing/>
              <w:rPr>
                <w:rFonts w:ascii="Times New Roman" w:hAnsi="Times New Roman" w:eastAsia="Times New Roman" w:cs="Times New Roman"/>
                <w:sz w:val="28"/>
                <w:szCs w:val="28"/>
                <w:lang w:eastAsia="ru-RU"/>
              </w:rPr>
            </w:pPr>
            <m:oMathPara>
              <m:oMath>
                <m:r>
                  <w:rPr>
                    <w:rFonts w:ascii="Cambria Math" w:hAnsi="Cambria Math" w:eastAsia="Times New Roman" w:cs="Times New Roman"/>
                    <w:sz w:val="28"/>
                    <w:szCs w:val="28"/>
                    <w:lang w:eastAsia="ru-RU"/>
                  </w:rPr>
                  <m:t>Q=</m:t>
                </m:r>
                <m:f>
                  <m:fPr>
                    <m:ctrlPr>
                      <w:rPr>
                        <w:rFonts w:ascii="Cambria Math" w:hAnsi="Cambria Math" w:eastAsia="Times New Roman" w:cs="Times New Roman"/>
                        <w:i/>
                        <w:sz w:val="28"/>
                        <w:szCs w:val="28"/>
                        <w:lang w:eastAsia="ru-RU"/>
                      </w:rPr>
                    </m:ctrlPr>
                  </m:fPr>
                  <m:num>
                    <m:r>
                      <w:rPr>
                        <w:rFonts w:ascii="Cambria Math" w:hAnsi="Cambria Math" w:eastAsia="Times New Roman" w:cs="Times New Roman"/>
                        <w:sz w:val="28"/>
                        <w:szCs w:val="28"/>
                        <w:lang w:eastAsia="ru-RU"/>
                      </w:rPr>
                      <m:t>1</m:t>
                    </m:r>
                    <m:ctrlPr>
                      <w:rPr>
                        <w:rFonts w:ascii="Cambria Math" w:hAnsi="Cambria Math" w:eastAsia="Times New Roman" w:cs="Times New Roman"/>
                        <w:i/>
                        <w:sz w:val="28"/>
                        <w:szCs w:val="28"/>
                        <w:lang w:eastAsia="ru-RU"/>
                      </w:rPr>
                    </m:ctrlPr>
                  </m:num>
                  <m:den>
                    <m:r>
                      <w:rPr>
                        <w:rFonts w:ascii="Cambria Math" w:hAnsi="Cambria Math" w:eastAsia="Times New Roman" w:cs="Times New Roman"/>
                        <w:sz w:val="28"/>
                        <w:szCs w:val="28"/>
                        <w:lang w:eastAsia="ru-RU"/>
                      </w:rPr>
                      <m:t>24</m:t>
                    </m:r>
                    <m:ctrlPr>
                      <w:rPr>
                        <w:rFonts w:ascii="Cambria Math" w:hAnsi="Cambria Math" w:eastAsia="Times New Roman" w:cs="Times New Roman"/>
                        <w:i/>
                        <w:sz w:val="28"/>
                        <w:szCs w:val="28"/>
                        <w:lang w:eastAsia="ru-RU"/>
                      </w:rPr>
                    </m:ctrlPr>
                  </m:den>
                </m:f>
                <m:r>
                  <w:rPr>
                    <w:rFonts w:ascii="Cambria Math" w:hAnsi="Cambria Math" w:eastAsia="Times New Roman" w:cs="Times New Roman"/>
                    <w:sz w:val="28"/>
                    <w:szCs w:val="28"/>
                    <w:lang w:eastAsia="ru-RU"/>
                  </w:rPr>
                  <m:t>*(</m:t>
                </m:r>
                <m:f>
                  <m:fPr>
                    <m:ctrlPr>
                      <w:rPr>
                        <w:rFonts w:ascii="Cambria Math" w:hAnsi="Cambria Math" w:eastAsia="Times New Roman" w:cs="Times New Roman"/>
                        <w:i/>
                        <w:sz w:val="28"/>
                        <w:szCs w:val="28"/>
                        <w:lang w:eastAsia="ru-RU"/>
                      </w:rPr>
                    </m:ctrlPr>
                  </m:fPr>
                  <m:num>
                    <m:r>
                      <w:rPr>
                        <w:rFonts w:ascii="Cambria Math" w:hAnsi="Cambria Math" w:eastAsia="Times New Roman" w:cs="Times New Roman"/>
                        <w:sz w:val="28"/>
                        <w:szCs w:val="28"/>
                        <w:lang w:val="en-US" w:eastAsia="ru-RU"/>
                      </w:rPr>
                      <m:t>L</m:t>
                    </m:r>
                    <m:ctrlPr>
                      <w:rPr>
                        <w:rFonts w:ascii="Cambria Math" w:hAnsi="Cambria Math" w:eastAsia="Times New Roman" w:cs="Times New Roman"/>
                        <w:i/>
                        <w:sz w:val="28"/>
                        <w:szCs w:val="28"/>
                        <w:lang w:eastAsia="ru-RU"/>
                      </w:rPr>
                    </m:ctrlPr>
                  </m:num>
                  <m:den>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V</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уч</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den>
                </m:f>
                <m: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к</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техн</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val="en-US" w:eastAsia="ru-RU"/>
                      </w:rPr>
                      <m:t>t</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техн</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к</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м</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val="en-US" w:eastAsia="ru-RU"/>
                      </w:rPr>
                      <m:t>t</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гр</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r>
                  <m:rPr>
                    <m:sty m:val="p"/>
                  </m:rPr>
                  <w:rPr>
                    <w:rFonts w:ascii="Cambria Math" w:hAnsi="Cambria Math" w:eastAsia="Times New Roman" w:cs="Times New Roman"/>
                    <w:sz w:val="28"/>
                    <w:szCs w:val="28"/>
                    <w:lang w:eastAsia="ru-RU"/>
                  </w:rPr>
                  <w:br w:type="textWrapping"/>
                </m:r>
              </m:oMath>
            </m:oMathPara>
            <w:r>
              <w:rPr>
                <w:rFonts w:ascii="Times New Roman" w:hAnsi="Times New Roman" w:eastAsia="Times New Roman" w:cs="Times New Roman"/>
                <w:sz w:val="28"/>
                <w:szCs w:val="28"/>
                <w:lang w:eastAsia="ru-RU"/>
              </w:rPr>
              <w:t>Полный рейс вагона рассчитывается по формуле:</w:t>
            </w:r>
            <w:r>
              <w:rPr>
                <w:rFonts w:ascii="Times New Roman" w:hAnsi="Times New Roman" w:eastAsia="Times New Roman" w:cs="Times New Roman"/>
                <w:sz w:val="28"/>
                <w:szCs w:val="28"/>
                <w:lang w:eastAsia="ru-RU"/>
              </w:rPr>
              <w:br w:type="textWrapping"/>
            </w:r>
            <m:oMathPara>
              <m:oMath>
                <m:r>
                  <w:rPr>
                    <w:rFonts w:ascii="Cambria Math" w:hAnsi="Cambria Math" w:eastAsia="Times New Roman" w:cs="Times New Roman"/>
                    <w:sz w:val="28"/>
                    <w:szCs w:val="28"/>
                    <w:lang w:eastAsia="ru-RU"/>
                  </w:rPr>
                  <m:t>L=</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L</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гр</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L</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пор</m:t>
                    </m:r>
                    <m:ctrlPr>
                      <w:rPr>
                        <w:rFonts w:ascii="Cambria Math" w:hAnsi="Cambria Math" w:eastAsia="Times New Roman" w:cs="Times New Roman"/>
                        <w:i/>
                        <w:sz w:val="28"/>
                        <w:szCs w:val="28"/>
                        <w:lang w:eastAsia="ru-RU"/>
                      </w:rPr>
                    </m:ctrlPr>
                  </m:sub>
                </m:sSub>
              </m:oMath>
            </m:oMathPara>
          </w:p>
          <w:p>
            <w:pPr>
              <w:spacing w:after="0" w:line="360" w:lineRule="auto"/>
              <w:contextualSpacing/>
              <w:rPr>
                <w:rFonts w:ascii="Times New Roman" w:hAnsi="Times New Roman" w:eastAsia="Times New Roman" w:cs="Times New Roman"/>
                <w:sz w:val="28"/>
                <w:szCs w:val="28"/>
                <w:lang w:eastAsia="ru-RU"/>
              </w:rPr>
            </w:pP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L</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гр</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i/>
                <w:sz w:val="28"/>
                <w:szCs w:val="28"/>
                <w:lang w:eastAsia="ru-RU"/>
              </w:rPr>
              <w:t xml:space="preserve"> - </w:t>
            </w:r>
            <w:r>
              <w:rPr>
                <w:rFonts w:ascii="Times New Roman" w:hAnsi="Times New Roman" w:eastAsia="Times New Roman" w:cs="Times New Roman"/>
                <w:sz w:val="28"/>
                <w:szCs w:val="28"/>
                <w:lang w:eastAsia="ru-RU"/>
              </w:rPr>
              <w:t>груженый рейс вагона</w:t>
            </w:r>
          </w:p>
          <w:p>
            <w:pPr>
              <w:spacing w:after="0" w:line="360" w:lineRule="auto"/>
              <w:contextualSpacing/>
              <w:rPr>
                <w:rFonts w:ascii="Times New Roman" w:hAnsi="Times New Roman" w:eastAsia="Times New Roman" w:cs="Times New Roman"/>
                <w:i/>
                <w:sz w:val="28"/>
                <w:szCs w:val="28"/>
                <w:lang w:eastAsia="ru-RU"/>
              </w:rPr>
            </w:pP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L</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пор</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i/>
                <w:sz w:val="28"/>
                <w:szCs w:val="28"/>
                <w:lang w:eastAsia="ru-RU"/>
              </w:rPr>
              <w:t xml:space="preserve"> - </w:t>
            </w:r>
            <w:r>
              <w:rPr>
                <w:rFonts w:ascii="Times New Roman" w:hAnsi="Times New Roman" w:eastAsia="Times New Roman" w:cs="Times New Roman"/>
                <w:sz w:val="28"/>
                <w:szCs w:val="28"/>
                <w:lang w:eastAsia="ru-RU"/>
              </w:rPr>
              <w:t>порожний рейс вагона</w:t>
            </w:r>
          </w:p>
          <w:p>
            <w:pPr>
              <w:spacing w:after="0" w:line="360" w:lineRule="auto"/>
              <w:contextualSpacing/>
              <w:rPr>
                <w:rFonts w:ascii="Times New Roman" w:hAnsi="Times New Roman" w:eastAsia="Times New Roman" w:cs="Times New Roman"/>
                <w:sz w:val="28"/>
                <w:szCs w:val="28"/>
                <w:lang w:eastAsia="ru-RU"/>
              </w:rPr>
            </w:pP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V</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уч</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участковая скорость;</w:t>
            </w:r>
            <w:r>
              <w:rPr>
                <w:rFonts w:ascii="Times New Roman" w:hAnsi="Times New Roman" w:eastAsia="Times New Roman" w:cs="Times New Roman"/>
                <w:sz w:val="28"/>
                <w:szCs w:val="28"/>
                <w:lang w:eastAsia="ru-RU"/>
              </w:rPr>
              <w:br w:type="textWrapping"/>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к</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техн</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среднее число технических станций, которые вагон проходит за время оборота;</w:t>
            </w:r>
            <w:r>
              <w:rPr>
                <w:rFonts w:ascii="Times New Roman" w:hAnsi="Times New Roman" w:eastAsia="Times New Roman" w:cs="Times New Roman"/>
                <w:sz w:val="28"/>
                <w:szCs w:val="28"/>
                <w:lang w:eastAsia="ru-RU"/>
              </w:rPr>
              <w:br w:type="textWrapping"/>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val="en-US" w:eastAsia="ru-RU"/>
                    </w:rPr>
                    <m:t>t</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техн</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средний простой вагона на одной технической станции;</w:t>
            </w:r>
            <w:r>
              <w:rPr>
                <w:rFonts w:ascii="Times New Roman" w:hAnsi="Times New Roman" w:eastAsia="Times New Roman" w:cs="Times New Roman"/>
                <w:sz w:val="28"/>
                <w:szCs w:val="28"/>
                <w:lang w:eastAsia="ru-RU"/>
              </w:rPr>
              <w:br w:type="textWrapping"/>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к</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м</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коэффициент местной работы, который показывает количество грузовых операций за время оборота грузового вагона.</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Коэффициент местной работы (для сети ж/д)</w:t>
            </w:r>
          </w:p>
          <w:p>
            <w:pPr>
              <w:spacing w:after="0" w:line="360" w:lineRule="auto"/>
              <w:contextualSpacing/>
              <w:jc w:val="center"/>
              <w:rPr>
                <w:rFonts w:ascii="Times New Roman" w:hAnsi="Times New Roman" w:eastAsia="Times New Roman" w:cs="Times New Roman"/>
                <w:sz w:val="28"/>
                <w:szCs w:val="28"/>
                <w:lang w:eastAsia="ru-RU"/>
              </w:rPr>
            </w:pPr>
            <m:oMathPara>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К</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м</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f>
                  <m:fPr>
                    <m:ctrlPr>
                      <w:rPr>
                        <w:rFonts w:ascii="Cambria Math" w:hAnsi="Cambria Math" w:eastAsia="Times New Roman" w:cs="Times New Roman"/>
                        <w:i/>
                        <w:sz w:val="28"/>
                        <w:szCs w:val="28"/>
                        <w:lang w:eastAsia="ru-RU"/>
                      </w:rPr>
                    </m:ctrlPr>
                  </m:fPr>
                  <m:num>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n</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num>
                  <m:den>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val="en-US"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сети</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den>
                </m:f>
                <m:r>
                  <m:rPr>
                    <m:sty m:val="p"/>
                  </m:rPr>
                  <w:rPr>
                    <w:rFonts w:ascii="Cambria Math" w:hAnsi="Cambria Math" w:eastAsia="Times New Roman" w:cs="Times New Roman"/>
                    <w:sz w:val="28"/>
                    <w:szCs w:val="28"/>
                    <w:lang w:eastAsia="ru-RU"/>
                  </w:rPr>
                  <w:br w:type="textWrapping"/>
                </m:r>
              </m:oMath>
            </m:oMathPara>
            <w:r>
              <w:rPr>
                <w:rFonts w:ascii="Times New Roman" w:hAnsi="Times New Roman" w:eastAsia="Times New Roman" w:cs="Times New Roman"/>
                <w:sz w:val="28"/>
                <w:szCs w:val="28"/>
                <w:lang w:eastAsia="ru-RU"/>
              </w:rPr>
              <w:t xml:space="preserve">где </w:t>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n</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погрузка в вагонах;</w:t>
            </w:r>
            <w:r>
              <w:rPr>
                <w:rFonts w:ascii="Times New Roman" w:hAnsi="Times New Roman" w:eastAsia="Times New Roman" w:cs="Times New Roman"/>
                <w:sz w:val="28"/>
                <w:szCs w:val="28"/>
                <w:lang w:eastAsia="ru-RU"/>
              </w:rPr>
              <w:br w:type="textWrapping"/>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выгрузка в вагонах;</w:t>
            </w:r>
            <w:r>
              <w:rPr>
                <w:rFonts w:ascii="Times New Roman" w:hAnsi="Times New Roman" w:eastAsia="Times New Roman" w:cs="Times New Roman"/>
                <w:sz w:val="28"/>
                <w:szCs w:val="28"/>
                <w:lang w:eastAsia="ru-RU"/>
              </w:rPr>
              <w:br w:type="textWrapping"/>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val="en-US"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сети</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xml:space="preserve">- работа сети в вагонах, равная </w:t>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n</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прием</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xml:space="preserve">, где </w:t>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прием</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прием груженых вагонов по внешним стыкам;</w:t>
            </w:r>
            <m:oMath>
              <m:r>
                <w:rPr>
                  <w:rFonts w:ascii="Cambria Math" w:hAnsi="Cambria Math" w:eastAsia="Times New Roman" w:cs="Times New Roman"/>
                  <w:sz w:val="28"/>
                  <w:szCs w:val="28"/>
                  <w:lang w:eastAsia="ru-RU"/>
                </w:rPr>
                <m:t xml:space="preserve"> </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u</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n</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среднее время простоя вагона под грузовыми операциями.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263" w:type="dxa"/>
            <w:vMerge w:val="continue"/>
          </w:tcPr>
          <w:p>
            <w:pPr>
              <w:spacing w:after="0" w:line="360" w:lineRule="auto"/>
              <w:rPr>
                <w:rFonts w:ascii="Times New Roman" w:hAnsi="Times New Roman" w:eastAsia="Calibri" w:cs="Times New Roman"/>
                <w:bCs/>
                <w:sz w:val="28"/>
                <w:szCs w:val="28"/>
              </w:rPr>
            </w:pPr>
          </w:p>
        </w:tc>
        <w:tc>
          <w:tcPr>
            <w:tcW w:w="2544" w:type="dxa"/>
            <w:vMerge w:val="continue"/>
          </w:tcPr>
          <w:p>
            <w:pPr>
              <w:spacing w:after="0" w:line="360" w:lineRule="auto"/>
              <w:contextualSpacing/>
              <w:rPr>
                <w:rFonts w:ascii="Times New Roman" w:hAnsi="Times New Roman" w:eastAsia="Calibri" w:cs="Times New Roman"/>
                <w:bCs/>
                <w:sz w:val="28"/>
                <w:szCs w:val="28"/>
              </w:rPr>
            </w:pPr>
          </w:p>
        </w:tc>
        <w:tc>
          <w:tcPr>
            <w:tcW w:w="2969" w:type="dxa"/>
          </w:tcPr>
          <w:p>
            <w:pPr>
              <w:spacing w:after="0" w:line="360" w:lineRule="auto"/>
              <w:contextualSpacing/>
              <w:rPr>
                <w:rFonts w:ascii="Times New Roman" w:hAnsi="Times New Roman" w:eastAsia="Times New Roman" w:cs="Times New Roman"/>
                <w:sz w:val="28"/>
                <w:szCs w:val="28"/>
                <w:lang w:eastAsia="ru-RU"/>
              </w:rPr>
            </w:pPr>
          </w:p>
          <w:p>
            <w:pPr>
              <w:spacing w:after="0" w:line="360" w:lineRule="auto"/>
              <w:contextualSpacing/>
              <w:rPr>
                <w:rFonts w:ascii="Times New Roman" w:hAnsi="Times New Roman" w:eastAsia="Times New Roman" w:cs="Times New Roman"/>
                <w:sz w:val="28"/>
                <w:szCs w:val="28"/>
                <w:lang w:eastAsia="ru-RU"/>
              </w:rPr>
            </w:pPr>
          </w:p>
          <w:p>
            <w:pPr>
              <w:spacing w:after="0" w:line="360" w:lineRule="auto"/>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Среднесуточный пробег вагона;</w:t>
            </w:r>
            <w:r>
              <w:rPr>
                <w:rFonts w:ascii="Times New Roman" w:hAnsi="Times New Roman" w:eastAsia="Times New Roman" w:cs="Times New Roman"/>
                <w:sz w:val="28"/>
                <w:szCs w:val="28"/>
                <w:lang w:eastAsia="ru-RU"/>
              </w:rPr>
              <w:br w:type="textWrapping"/>
            </w:r>
          </w:p>
          <w:p>
            <w:pPr>
              <w:spacing w:after="0" w:line="360" w:lineRule="auto"/>
              <w:rPr>
                <w:rFonts w:ascii="Times New Roman" w:hAnsi="Times New Roman" w:eastAsia="Times New Roman" w:cs="Times New Roman"/>
                <w:color w:val="000000"/>
                <w:sz w:val="28"/>
                <w:szCs w:val="28"/>
                <w:lang w:eastAsia="ru-RU"/>
              </w:rPr>
            </w:pPr>
          </w:p>
        </w:tc>
        <w:tc>
          <w:tcPr>
            <w:tcW w:w="1176"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км/сутки</w:t>
            </w:r>
          </w:p>
        </w:tc>
        <w:tc>
          <w:tcPr>
            <w:tcW w:w="5631" w:type="dxa"/>
          </w:tcPr>
          <w:p>
            <w:pPr>
              <w:spacing w:after="0" w:line="360" w:lineRule="auto"/>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Среднесуточный пробег вагона грузового парка характеризует скорость его продвижения</w:t>
            </w:r>
          </w:p>
          <w:p>
            <w:pPr>
              <w:spacing w:after="0" w:line="360" w:lineRule="auto"/>
              <w:contextualSpacing/>
              <w:rPr>
                <w:rFonts w:ascii="Times New Roman" w:hAnsi="Times New Roman" w:eastAsia="Times New Roman" w:cs="Times New Roman"/>
                <w:sz w:val="28"/>
                <w:szCs w:val="28"/>
                <w:lang w:eastAsia="ru-RU"/>
              </w:rPr>
            </w:pPr>
            <m:oMathPara>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S</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f>
                  <m:fPr>
                    <m:ctrlPr>
                      <w:rPr>
                        <w:rFonts w:ascii="Cambria Math" w:hAnsi="Cambria Math" w:eastAsia="Times New Roman" w:cs="Times New Roman"/>
                        <w:i/>
                        <w:sz w:val="28"/>
                        <w:szCs w:val="28"/>
                        <w:lang w:eastAsia="ru-RU"/>
                      </w:rPr>
                    </m:ctrlPr>
                  </m:fPr>
                  <m:num>
                    <m:r>
                      <w:rPr>
                        <w:rFonts w:ascii="Cambria Math" w:hAnsi="Cambria Math" w:eastAsia="Times New Roman" w:cs="Times New Roman"/>
                        <w:sz w:val="28"/>
                        <w:szCs w:val="28"/>
                        <w:lang w:eastAsia="ru-RU"/>
                      </w:rPr>
                      <m:t>L</m:t>
                    </m:r>
                    <m:ctrlPr>
                      <w:rPr>
                        <w:rFonts w:ascii="Cambria Math" w:hAnsi="Cambria Math" w:eastAsia="Times New Roman" w:cs="Times New Roman"/>
                        <w:i/>
                        <w:sz w:val="28"/>
                        <w:szCs w:val="28"/>
                        <w:lang w:eastAsia="ru-RU"/>
                      </w:rPr>
                    </m:ctrlPr>
                  </m:num>
                  <m:den>
                    <m:r>
                      <w:rPr>
                        <w:rFonts w:ascii="Cambria Math" w:hAnsi="Cambria Math" w:eastAsia="Times New Roman" w:cs="Times New Roman"/>
                        <w:sz w:val="28"/>
                        <w:szCs w:val="28"/>
                        <w:lang w:eastAsia="ru-RU"/>
                      </w:rPr>
                      <m:t>Q</m:t>
                    </m:r>
                    <m:ctrlPr>
                      <w:rPr>
                        <w:rFonts w:ascii="Cambria Math" w:hAnsi="Cambria Math" w:eastAsia="Times New Roman" w:cs="Times New Roman"/>
                        <w:i/>
                        <w:sz w:val="28"/>
                        <w:szCs w:val="28"/>
                        <w:lang w:eastAsia="ru-RU"/>
                      </w:rPr>
                    </m:ctrlPr>
                  </m:den>
                </m:f>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263" w:type="dxa"/>
            <w:vMerge w:val="continue"/>
          </w:tcPr>
          <w:p>
            <w:pPr>
              <w:spacing w:after="0" w:line="360" w:lineRule="auto"/>
              <w:rPr>
                <w:rFonts w:ascii="Times New Roman" w:hAnsi="Times New Roman" w:eastAsia="Calibri" w:cs="Times New Roman"/>
                <w:bCs/>
                <w:sz w:val="28"/>
                <w:szCs w:val="28"/>
              </w:rPr>
            </w:pPr>
          </w:p>
        </w:tc>
        <w:tc>
          <w:tcPr>
            <w:tcW w:w="2544" w:type="dxa"/>
            <w:vMerge w:val="continue"/>
          </w:tcPr>
          <w:p>
            <w:pPr>
              <w:spacing w:after="0" w:line="360" w:lineRule="auto"/>
              <w:contextualSpacing/>
              <w:rPr>
                <w:rFonts w:ascii="Times New Roman" w:hAnsi="Times New Roman" w:eastAsia="Calibri" w:cs="Times New Roman"/>
                <w:bCs/>
                <w:sz w:val="28"/>
                <w:szCs w:val="28"/>
              </w:rPr>
            </w:pPr>
          </w:p>
        </w:tc>
        <w:tc>
          <w:tcPr>
            <w:tcW w:w="2969"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Производительность вагона.</w:t>
            </w:r>
          </w:p>
        </w:tc>
        <w:tc>
          <w:tcPr>
            <w:tcW w:w="1176" w:type="dxa"/>
          </w:tcPr>
          <w:p>
            <w:pPr>
              <w:spacing w:after="0" w:line="360" w:lineRule="auto"/>
              <w:rPr>
                <w:rFonts w:ascii="Times New Roman" w:hAnsi="Times New Roman" w:eastAsia="Times New Roman" w:cs="Times New Roman"/>
                <w:color w:val="000000"/>
                <w:sz w:val="28"/>
                <w:szCs w:val="28"/>
                <w:lang w:val="en-US" w:eastAsia="ru-RU"/>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тонно-км нетто</w:t>
            </w:r>
          </w:p>
        </w:tc>
        <w:tc>
          <w:tcPr>
            <w:tcW w:w="5631"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Среднесуточная производительность вагона характеризует его использование в процессе перевозки грузов</w:t>
            </w:r>
          </w:p>
          <w:p>
            <w:pPr>
              <w:spacing w:after="0" w:line="360" w:lineRule="auto"/>
              <w:rPr>
                <w:rFonts w:ascii="Times New Roman" w:hAnsi="Times New Roman" w:eastAsia="Times New Roman" w:cs="Times New Roman"/>
                <w:sz w:val="28"/>
                <w:szCs w:val="28"/>
                <w:lang w:eastAsia="ru-RU"/>
              </w:rPr>
            </w:pPr>
            <m:oMathPara>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val="en-US" w:eastAsia="ru-RU"/>
                      </w:rPr>
                      <m:t>W</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sSubSup>
                  <m:sSubSupPr>
                    <m:ctrlPr>
                      <w:rPr>
                        <w:rFonts w:ascii="Cambria Math" w:hAnsi="Cambria Math" w:eastAsia="Times New Roman" w:cs="Times New Roman"/>
                        <w:i/>
                        <w:sz w:val="28"/>
                        <w:szCs w:val="28"/>
                        <w:lang w:eastAsia="ru-RU"/>
                      </w:rPr>
                    </m:ctrlPr>
                  </m:sSubSupPr>
                  <m:e>
                    <m:r>
                      <w:rPr>
                        <w:rFonts w:ascii="Cambria Math" w:hAnsi="Cambria Math" w:eastAsia="Times New Roman" w:cs="Times New Roman"/>
                        <w:sz w:val="28"/>
                        <w:szCs w:val="28"/>
                        <w:lang w:eastAsia="ru-RU"/>
                      </w:rPr>
                      <m:t>Р</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дин</m:t>
                    </m:r>
                    <m:ctrlPr>
                      <w:rPr>
                        <w:rFonts w:ascii="Cambria Math" w:hAnsi="Cambria Math" w:eastAsia="Times New Roman" w:cs="Times New Roman"/>
                        <w:i/>
                        <w:sz w:val="28"/>
                        <w:szCs w:val="28"/>
                        <w:lang w:eastAsia="ru-RU"/>
                      </w:rPr>
                    </m:ctrlPr>
                  </m:sub>
                  <m:sup>
                    <m:r>
                      <w:rPr>
                        <w:rFonts w:ascii="Cambria Math" w:hAnsi="Cambria Math" w:eastAsia="Times New Roman" w:cs="Times New Roman"/>
                        <w:sz w:val="28"/>
                        <w:szCs w:val="28"/>
                        <w:lang w:eastAsia="ru-RU"/>
                      </w:rPr>
                      <m:t>гр</m:t>
                    </m:r>
                    <m:ctrlPr>
                      <w:rPr>
                        <w:rFonts w:ascii="Cambria Math" w:hAnsi="Cambria Math" w:eastAsia="Times New Roman" w:cs="Times New Roman"/>
                        <w:i/>
                        <w:sz w:val="28"/>
                        <w:szCs w:val="28"/>
                        <w:lang w:eastAsia="ru-RU"/>
                      </w:rPr>
                    </m:ctrlPr>
                  </m:sup>
                </m:sSubSup>
                <m:r>
                  <w:rPr>
                    <w:rFonts w:ascii="Cambria Math" w:hAnsi="Cambria Math" w:eastAsia="Times New Roman" w:cs="Times New Roman"/>
                    <w:sz w:val="28"/>
                    <w:szCs w:val="28"/>
                    <w:lang w:eastAsia="ru-RU"/>
                  </w:rPr>
                  <m:t>*</m:t>
                </m:r>
                <m:f>
                  <m:fPr>
                    <m:ctrlPr>
                      <w:rPr>
                        <w:rFonts w:ascii="Cambria Math" w:hAnsi="Cambria Math" w:eastAsia="Times New Roman" w:cs="Times New Roman"/>
                        <w:i/>
                        <w:sz w:val="28"/>
                        <w:szCs w:val="28"/>
                        <w:lang w:eastAsia="ru-RU"/>
                      </w:rPr>
                    </m:ctrlPr>
                  </m:fPr>
                  <m:num>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S</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num>
                  <m:den>
                    <m:r>
                      <w:rPr>
                        <w:rFonts w:ascii="Cambria Math" w:hAnsi="Cambria Math" w:eastAsia="Times New Roman" w:cs="Times New Roman"/>
                        <w:sz w:val="28"/>
                        <w:szCs w:val="28"/>
                        <w:lang w:eastAsia="ru-RU"/>
                      </w:rPr>
                      <m:t>1-</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α</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пор</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den>
                </m:f>
              </m:oMath>
            </m:oMathPara>
          </w:p>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где </w:t>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S</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среднесуточная производительность вагона</w:t>
            </w:r>
          </w:p>
          <w:p>
            <w:pPr>
              <w:spacing w:after="0" w:line="360" w:lineRule="auto"/>
              <w:rPr>
                <w:rFonts w:ascii="Times New Roman" w:hAnsi="Times New Roman" w:eastAsia="Times New Roman" w:cs="Times New Roman"/>
                <w:sz w:val="28"/>
                <w:szCs w:val="28"/>
                <w:lang w:eastAsia="ru-RU"/>
              </w:rPr>
            </w:pPr>
            <m:oMath>
              <m:sSubSup>
                <m:sSubSupPr>
                  <m:ctrlPr>
                    <w:rPr>
                      <w:rFonts w:ascii="Cambria Math" w:hAnsi="Cambria Math" w:eastAsia="Times New Roman" w:cs="Times New Roman"/>
                      <w:i/>
                      <w:sz w:val="28"/>
                      <w:szCs w:val="28"/>
                      <w:lang w:eastAsia="ru-RU"/>
                    </w:rPr>
                  </m:ctrlPr>
                </m:sSubSupPr>
                <m:e>
                  <m:r>
                    <w:rPr>
                      <w:rFonts w:ascii="Cambria Math" w:hAnsi="Cambria Math" w:eastAsia="Times New Roman" w:cs="Times New Roman"/>
                      <w:sz w:val="28"/>
                      <w:szCs w:val="28"/>
                      <w:lang w:eastAsia="ru-RU"/>
                    </w:rPr>
                    <m:t>Р</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дин</m:t>
                  </m:r>
                  <m:ctrlPr>
                    <w:rPr>
                      <w:rFonts w:ascii="Cambria Math" w:hAnsi="Cambria Math" w:eastAsia="Times New Roman" w:cs="Times New Roman"/>
                      <w:i/>
                      <w:sz w:val="28"/>
                      <w:szCs w:val="28"/>
                      <w:lang w:eastAsia="ru-RU"/>
                    </w:rPr>
                  </m:ctrlPr>
                </m:sub>
                <m:sup>
                  <m:r>
                    <w:rPr>
                      <w:rFonts w:ascii="Cambria Math" w:hAnsi="Cambria Math" w:eastAsia="Times New Roman" w:cs="Times New Roman"/>
                      <w:sz w:val="28"/>
                      <w:szCs w:val="28"/>
                      <w:lang w:eastAsia="ru-RU"/>
                    </w:rPr>
                    <m:t>гр</m:t>
                  </m:r>
                  <m:ctrlPr>
                    <w:rPr>
                      <w:rFonts w:ascii="Cambria Math" w:hAnsi="Cambria Math" w:eastAsia="Times New Roman" w:cs="Times New Roman"/>
                      <w:i/>
                      <w:sz w:val="28"/>
                      <w:szCs w:val="28"/>
                      <w:lang w:eastAsia="ru-RU"/>
                    </w:rPr>
                  </m:ctrlPr>
                </m:sup>
              </m:sSubSup>
            </m:oMath>
            <w:r>
              <w:rPr>
                <w:rFonts w:ascii="Times New Roman" w:hAnsi="Times New Roman" w:eastAsia="Times New Roman" w:cs="Times New Roman"/>
                <w:sz w:val="28"/>
                <w:szCs w:val="28"/>
                <w:lang w:eastAsia="ru-RU"/>
              </w:rPr>
              <w:t xml:space="preserve"> - средняя динамическая нагрузка на груженый вагон</w:t>
            </w:r>
          </w:p>
          <w:p>
            <w:pPr>
              <w:spacing w:after="0" w:line="360" w:lineRule="auto"/>
              <w:rPr>
                <w:rFonts w:ascii="Times New Roman" w:hAnsi="Times New Roman" w:eastAsia="Times New Roman" w:cs="Times New Roman"/>
                <w:i/>
                <w:sz w:val="28"/>
                <w:szCs w:val="28"/>
                <w:lang w:eastAsia="ru-RU"/>
              </w:rPr>
            </w:pP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α</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пор</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xml:space="preserve"> - коэффициент порожнего пробега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2544" w:type="dxa"/>
            <w:vMerge w:val="continue"/>
          </w:tcPr>
          <w:p>
            <w:pPr>
              <w:spacing w:after="0" w:line="360" w:lineRule="auto"/>
              <w:rPr>
                <w:rFonts w:ascii="Times New Roman" w:hAnsi="Times New Roman" w:eastAsia="Times New Roman" w:cs="Times New Roman"/>
                <w:color w:val="000000"/>
                <w:sz w:val="28"/>
                <w:szCs w:val="28"/>
                <w:lang w:eastAsia="ru-RU"/>
              </w:rPr>
            </w:pPr>
          </w:p>
        </w:tc>
        <w:tc>
          <w:tcPr>
            <w:tcW w:w="9776" w:type="dxa"/>
            <w:gridSpan w:val="3"/>
          </w:tcPr>
          <w:p>
            <w:pPr>
              <w:spacing w:after="0" w:line="36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Оценка эффективности проводится методом сравнительного анализа динамики изменения значений качественных показателей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263" w:type="dxa"/>
            <w:vMerge w:val="restart"/>
          </w:tcPr>
          <w:p>
            <w:pPr>
              <w:spacing w:after="0" w:line="360" w:lineRule="auto"/>
              <w:rPr>
                <w:rFonts w:ascii="Times New Roman" w:hAnsi="Times New Roman" w:eastAsia="Times New Roman" w:cs="Times New Roman"/>
                <w:b/>
                <w:color w:val="000000"/>
                <w:sz w:val="28"/>
                <w:szCs w:val="28"/>
                <w:lang w:eastAsia="ru-RU"/>
              </w:rPr>
            </w:pPr>
            <w:r>
              <w:rPr>
                <w:rFonts w:ascii="Times New Roman" w:hAnsi="Times New Roman" w:eastAsia="Calibri" w:cs="Times New Roman"/>
                <w:b/>
                <w:sz w:val="28"/>
                <w:szCs w:val="28"/>
              </w:rPr>
              <w:t>Аникеева-Науменко Любовь Олеговна</w:t>
            </w:r>
            <w:r>
              <w:rPr>
                <w:rFonts w:ascii="Times New Roman" w:hAnsi="Times New Roman" w:eastAsia="Calibri" w:cs="Times New Roman"/>
                <w:sz w:val="28"/>
                <w:szCs w:val="28"/>
                <w:lang w:val="en-US"/>
              </w:rPr>
              <w:t>[</w:t>
            </w:r>
            <w:r>
              <w:rPr>
                <w:rFonts w:ascii="Times New Roman" w:hAnsi="Times New Roman" w:eastAsia="Calibri" w:cs="Times New Roman"/>
                <w:sz w:val="28"/>
                <w:szCs w:val="28"/>
              </w:rPr>
              <w:t>9</w:t>
            </w:r>
            <w:r>
              <w:rPr>
                <w:rFonts w:ascii="Times New Roman" w:hAnsi="Times New Roman" w:eastAsia="Calibri" w:cs="Times New Roman"/>
                <w:sz w:val="28"/>
                <w:szCs w:val="28"/>
                <w:lang w:val="en-US"/>
              </w:rPr>
              <w:t>]</w:t>
            </w:r>
          </w:p>
        </w:tc>
        <w:tc>
          <w:tcPr>
            <w:tcW w:w="2544" w:type="dxa"/>
            <w:vMerge w:val="restart"/>
          </w:tcPr>
          <w:p>
            <w:pPr>
              <w:spacing w:after="0" w:line="36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«Методы повышения эффективности использования вагонов грузового парка на железнодорожном транспорте»,</w:t>
            </w:r>
          </w:p>
          <w:p>
            <w:pPr>
              <w:spacing w:after="0" w:line="360" w:lineRule="auto"/>
              <w:rPr>
                <w:rFonts w:ascii="Times New Roman" w:hAnsi="Times New Roman" w:eastAsia="Times New Roman" w:cs="Times New Roman"/>
                <w:color w:val="000000"/>
                <w:sz w:val="28"/>
                <w:szCs w:val="28"/>
                <w:lang w:val="en-US" w:eastAsia="ru-RU"/>
              </w:rPr>
            </w:pPr>
            <w:r>
              <w:rPr>
                <w:rFonts w:ascii="Times New Roman" w:hAnsi="Times New Roman" w:eastAsia="Calibri" w:cs="Times New Roman"/>
                <w:sz w:val="28"/>
                <w:szCs w:val="28"/>
              </w:rPr>
              <w:t>Диссертация ,2014 год</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9</w:t>
            </w:r>
            <w:r>
              <w:rPr>
                <w:rFonts w:ascii="Times New Roman" w:hAnsi="Times New Roman" w:eastAsia="Calibri" w:cs="Times New Roman"/>
                <w:sz w:val="28"/>
                <w:szCs w:val="28"/>
                <w:lang w:val="en-US"/>
              </w:rPr>
              <w:t>]</w:t>
            </w:r>
          </w:p>
        </w:tc>
        <w:tc>
          <w:tcPr>
            <w:tcW w:w="2969" w:type="dxa"/>
          </w:tcPr>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Оборот грузового вагона </w:t>
            </w:r>
          </w:p>
        </w:tc>
        <w:tc>
          <w:tcPr>
            <w:tcW w:w="1176"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Сут.</w:t>
            </w:r>
          </w:p>
        </w:tc>
        <w:tc>
          <w:tcPr>
            <w:tcW w:w="5631" w:type="dxa"/>
          </w:tcPr>
          <w:p>
            <w:pPr>
              <w:spacing w:after="0" w:line="360" w:lineRule="auto"/>
              <w:rPr>
                <w:rFonts w:ascii="Times New Roman" w:hAnsi="Times New Roman" w:eastAsia="Times New Roman" w:cs="Times New Roman"/>
                <w:color w:val="000000"/>
                <w:sz w:val="28"/>
                <w:szCs w:val="28"/>
                <w:lang w:eastAsia="ru-RU"/>
              </w:rPr>
            </w:pPr>
            <m:oMathPara>
              <m:oMath>
                <m:r>
                  <m:rPr>
                    <m:sty m:val="p"/>
                  </m:rPr>
                  <w:rPr>
                    <w:rFonts w:ascii="Cambria Math" w:hAnsi="Cambria Math" w:eastAsia="Times New Roman" w:cs="Times New Roman"/>
                    <w:color w:val="000000"/>
                    <w:sz w:val="28"/>
                    <w:szCs w:val="28"/>
                    <w:lang w:eastAsia="ru-RU"/>
                  </w:rPr>
                  <m:t>Ɵ=24(</m:t>
                </m:r>
                <m:f>
                  <m:fPr>
                    <m:ctrlPr>
                      <w:rPr>
                        <w:rFonts w:ascii="Cambria Math" w:hAnsi="Cambria Math" w:eastAsia="Times New Roman" w:cs="Times New Roman"/>
                        <w:color w:val="000000"/>
                        <w:sz w:val="28"/>
                        <w:szCs w:val="28"/>
                        <w:lang w:eastAsia="ru-RU"/>
                      </w:rPr>
                    </m:ctrlPr>
                  </m:fPr>
                  <m:num>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num>
                  <m:den>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V</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уч</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den>
                </m:f>
                <m:r>
                  <w:rPr>
                    <w:rFonts w:ascii="Cambria Math" w:hAnsi="Cambria Math" w:eastAsia="Times New Roman" w:cs="Times New Roman"/>
                    <w:color w:val="000000"/>
                    <w:sz w:val="28"/>
                    <w:szCs w:val="28"/>
                    <w:lang w:eastAsia="ru-RU"/>
                  </w:rPr>
                  <m:t>+</m:t>
                </m:r>
                <m:f>
                  <m:fPr>
                    <m:ctrlPr>
                      <w:rPr>
                        <w:rFonts w:ascii="Cambria Math" w:hAnsi="Cambria Math" w:eastAsia="Times New Roman" w:cs="Times New Roman"/>
                        <w:color w:val="000000"/>
                        <w:sz w:val="28"/>
                        <w:szCs w:val="28"/>
                        <w:lang w:eastAsia="ru-RU"/>
                      </w:rPr>
                    </m:ctrlPr>
                  </m:fPr>
                  <m:num>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num>
                  <m:den>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den>
                </m:f>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K</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м</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oMath>
            </m:oMathPara>
          </w:p>
          <w:p>
            <w:pPr>
              <w:spacing w:after="0" w:line="360" w:lineRule="auto"/>
              <w:rPr>
                <w:rFonts w:ascii="Times New Roman" w:hAnsi="Times New Roman" w:eastAsia="Times New Roman" w:cs="Times New Roman"/>
                <w:color w:val="000000"/>
                <w:sz w:val="28"/>
                <w:szCs w:val="28"/>
                <w:lang w:eastAsia="ru-RU"/>
              </w:rPr>
            </w:pPr>
            <m:oMath>
              <m:f>
                <m:fPr>
                  <m:ctrlPr>
                    <w:rPr>
                      <w:rFonts w:ascii="Cambria Math" w:hAnsi="Cambria Math" w:eastAsia="Times New Roman" w:cs="Times New Roman"/>
                      <w:color w:val="000000"/>
                      <w:sz w:val="28"/>
                      <w:szCs w:val="28"/>
                      <w:lang w:eastAsia="ru-RU"/>
                    </w:rPr>
                  </m:ctrlPr>
                </m:fPr>
                <m:num>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num>
                <m:den>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V</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уч</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den>
              </m:f>
            </m:oMath>
            <w:r>
              <w:rPr>
                <w:rFonts w:ascii="Times New Roman" w:hAnsi="Times New Roman" w:eastAsia="Times New Roman" w:cs="Times New Roman"/>
                <w:color w:val="000000"/>
                <w:sz w:val="28"/>
                <w:szCs w:val="28"/>
                <w:lang w:eastAsia="ru-RU"/>
              </w:rPr>
              <w:t xml:space="preserve"> - время нахождения вагона в движении</w:t>
            </w:r>
          </w:p>
          <w:p>
            <w:pPr>
              <w:spacing w:after="0" w:line="360" w:lineRule="auto"/>
              <w:rPr>
                <w:rFonts w:ascii="Times New Roman" w:hAnsi="Times New Roman" w:eastAsia="Times New Roman" w:cs="Times New Roman"/>
                <w:color w:val="000000"/>
                <w:sz w:val="28"/>
                <w:szCs w:val="28"/>
                <w:lang w:eastAsia="ru-RU"/>
              </w:rPr>
            </w:pPr>
            <m:oMath>
              <m:f>
                <m:fPr>
                  <m:ctrlPr>
                    <w:rPr>
                      <w:rFonts w:ascii="Cambria Math" w:hAnsi="Cambria Math" w:eastAsia="Times New Roman" w:cs="Times New Roman"/>
                      <w:color w:val="000000"/>
                      <w:sz w:val="28"/>
                      <w:szCs w:val="28"/>
                      <w:lang w:eastAsia="ru-RU"/>
                    </w:rPr>
                  </m:ctrlPr>
                </m:fPr>
                <m:num>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num>
                <m:den>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color w:val="000000"/>
                      <w:sz w:val="28"/>
                      <w:szCs w:val="28"/>
                      <w:lang w:eastAsia="ru-RU"/>
                    </w:rPr>
                  </m:ctrlPr>
                </m:den>
              </m:f>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время нахождения вагона на технических станциях</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K</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м</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время нахождения вагона на станциях погрузки и выгрузки </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o</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полный рейс вагона</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V</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уч</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участковая скорость движения поездов, км/ч;</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вагонное плечо, т.е. ср. расстояние между техническими станциями</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тех</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время простоя вагона на одной технической станции, ч;</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K</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м</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коэффициент местной работы</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время нахождения на станции погрузки/выгрузки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63" w:type="dxa"/>
            <w:vMerge w:val="continue"/>
          </w:tcPr>
          <w:p>
            <w:pPr>
              <w:spacing w:after="0" w:line="360" w:lineRule="auto"/>
              <w:rPr>
                <w:rFonts w:ascii="Times New Roman" w:hAnsi="Times New Roman" w:eastAsia="Calibri" w:cs="Times New Roman"/>
                <w:sz w:val="28"/>
                <w:szCs w:val="28"/>
              </w:rPr>
            </w:pPr>
          </w:p>
        </w:tc>
        <w:tc>
          <w:tcPr>
            <w:tcW w:w="2544" w:type="dxa"/>
            <w:vMerge w:val="continue"/>
          </w:tcPr>
          <w:p>
            <w:pPr>
              <w:spacing w:after="0" w:line="360" w:lineRule="auto"/>
              <w:contextualSpacing/>
              <w:rPr>
                <w:rFonts w:ascii="Times New Roman" w:hAnsi="Times New Roman" w:eastAsia="Calibri" w:cs="Times New Roman"/>
                <w:sz w:val="28"/>
                <w:szCs w:val="28"/>
              </w:rPr>
            </w:pPr>
          </w:p>
        </w:tc>
        <w:tc>
          <w:tcPr>
            <w:tcW w:w="2969" w:type="dxa"/>
          </w:tcPr>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Средняя дальность перевозок </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Км.</w:t>
            </w:r>
          </w:p>
        </w:tc>
        <w:tc>
          <w:tcPr>
            <w:tcW w:w="5631" w:type="dxa"/>
          </w:tcPr>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val="en-US" w:eastAsia="ru-RU"/>
                    </w:rPr>
                    <m:t>l</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ср</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f>
                    <m:fPr>
                      <m:ctrlPr>
                        <w:rPr>
                          <w:rFonts w:ascii="Cambria Math" w:hAnsi="Cambria Math" w:eastAsia="Times New Roman" w:cs="Times New Roman"/>
                          <w:i/>
                          <w:color w:val="000000"/>
                          <w:sz w:val="28"/>
                          <w:szCs w:val="28"/>
                          <w:lang w:eastAsia="ru-RU"/>
                        </w:rPr>
                      </m:ctrlPr>
                    </m:fPr>
                    <m:num>
                      <m:r>
                        <w:rPr>
                          <w:rFonts w:ascii="Cambria Math" w:hAnsi="Cambria Math" w:eastAsia="Times New Roman" w:cs="Times New Roman"/>
                          <w:color w:val="000000"/>
                          <w:sz w:val="28"/>
                          <w:szCs w:val="28"/>
                          <w:lang w:val="en-US" w:eastAsia="ru-RU"/>
                        </w:rPr>
                        <m:t>P</m:t>
                      </m:r>
                      <m:ctrlPr>
                        <w:rPr>
                          <w:rFonts w:ascii="Cambria Math" w:hAnsi="Cambria Math" w:eastAsia="Times New Roman" w:cs="Times New Roman"/>
                          <w:i/>
                          <w:color w:val="000000"/>
                          <w:sz w:val="28"/>
                          <w:szCs w:val="28"/>
                          <w:lang w:eastAsia="ru-RU"/>
                        </w:rPr>
                      </m:ctrlPr>
                    </m:num>
                    <m:den>
                      <m:r>
                        <w:rPr>
                          <w:rFonts w:ascii="Cambria Math" w:hAnsi="Cambria Math" w:eastAsia="Times New Roman" w:cs="Times New Roman"/>
                          <w:color w:val="000000"/>
                          <w:sz w:val="28"/>
                          <w:szCs w:val="28"/>
                          <w:lang w:eastAsia="ru-RU"/>
                        </w:rPr>
                        <m:t>H</m:t>
                      </m:r>
                      <m:ctrlPr>
                        <w:rPr>
                          <w:rFonts w:ascii="Cambria Math" w:hAnsi="Cambria Math" w:eastAsia="Times New Roman" w:cs="Times New Roman"/>
                          <w:i/>
                          <w:color w:val="000000"/>
                          <w:sz w:val="28"/>
                          <w:szCs w:val="28"/>
                          <w:lang w:eastAsia="ru-RU"/>
                        </w:rPr>
                      </m:ctrlPr>
                    </m:den>
                  </m:f>
                  <m:r>
                    <w:rPr>
                      <w:rFonts w:ascii="Cambria Math" w:hAnsi="Cambria Math" w:eastAsia="Times New Roman" w:cs="Times New Roman"/>
                      <w:color w:val="000000"/>
                      <w:sz w:val="28"/>
                      <w:szCs w:val="28"/>
                      <w:lang w:eastAsia="ru-RU"/>
                    </w:rPr>
                    <m:t>/</m:t>
                  </m:r>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r>
                        <w:rPr>
                          <w:rFonts w:ascii="Cambria Math" w:hAnsi="Cambria Math" w:eastAsia="Times New Roman" w:cs="Times New Roman"/>
                          <w:color w:val="000000"/>
                          <w:sz w:val="28"/>
                          <w:szCs w:val="28"/>
                          <w:lang w:eastAsia="ru-RU"/>
                        </w:rPr>
                        <m:t>Р</m:t>
                      </m:r>
                      <m:ctrlPr>
                        <w:rPr>
                          <w:rFonts w:ascii="Cambria Math" w:hAnsi="Cambria Math" w:eastAsia="Times New Roman" w:cs="Times New Roman"/>
                          <w:i/>
                          <w:color w:val="000000"/>
                          <w:sz w:val="28"/>
                          <w:szCs w:val="28"/>
                          <w:lang w:eastAsia="ru-RU"/>
                        </w:rPr>
                      </m:ctrlPr>
                    </m:e>
                  </m:nary>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Где </w:t>
            </w:r>
            <m:oMath>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f>
                    <m:fPr>
                      <m:ctrlPr>
                        <w:rPr>
                          <w:rFonts w:ascii="Cambria Math" w:hAnsi="Cambria Math" w:eastAsia="Times New Roman" w:cs="Times New Roman"/>
                          <w:i/>
                          <w:color w:val="000000"/>
                          <w:sz w:val="28"/>
                          <w:szCs w:val="28"/>
                          <w:lang w:eastAsia="ru-RU"/>
                        </w:rPr>
                      </m:ctrlPr>
                    </m:fPr>
                    <m:num>
                      <m:r>
                        <w:rPr>
                          <w:rFonts w:ascii="Cambria Math" w:hAnsi="Cambria Math" w:eastAsia="Times New Roman" w:cs="Times New Roman"/>
                          <w:color w:val="000000"/>
                          <w:sz w:val="28"/>
                          <w:szCs w:val="28"/>
                          <w:lang w:val="en-US" w:eastAsia="ru-RU"/>
                        </w:rPr>
                        <m:t>P</m:t>
                      </m:r>
                      <m:ctrlPr>
                        <w:rPr>
                          <w:rFonts w:ascii="Cambria Math" w:hAnsi="Cambria Math" w:eastAsia="Times New Roman" w:cs="Times New Roman"/>
                          <w:i/>
                          <w:color w:val="000000"/>
                          <w:sz w:val="28"/>
                          <w:szCs w:val="28"/>
                          <w:lang w:eastAsia="ru-RU"/>
                        </w:rPr>
                      </m:ctrlPr>
                    </m:num>
                    <m:den>
                      <m:r>
                        <w:rPr>
                          <w:rFonts w:ascii="Cambria Math" w:hAnsi="Cambria Math" w:eastAsia="Times New Roman" w:cs="Times New Roman"/>
                          <w:color w:val="000000"/>
                          <w:sz w:val="28"/>
                          <w:szCs w:val="28"/>
                          <w:lang w:eastAsia="ru-RU"/>
                        </w:rPr>
                        <m:t>H</m:t>
                      </m:r>
                      <m:ctrlPr>
                        <w:rPr>
                          <w:rFonts w:ascii="Cambria Math" w:hAnsi="Cambria Math" w:eastAsia="Times New Roman" w:cs="Times New Roman"/>
                          <w:i/>
                          <w:color w:val="000000"/>
                          <w:sz w:val="28"/>
                          <w:szCs w:val="28"/>
                          <w:lang w:eastAsia="ru-RU"/>
                        </w:rPr>
                      </m:ctrlPr>
                    </m:den>
                  </m:f>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xml:space="preserve"> – грузооборот нетто</w:t>
            </w:r>
          </w:p>
          <w:p>
            <w:pPr>
              <w:spacing w:after="0" w:line="360" w:lineRule="auto"/>
              <w:rPr>
                <w:rFonts w:ascii="Times New Roman" w:hAnsi="Times New Roman" w:eastAsia="Times New Roman" w:cs="Times New Roman"/>
                <w:color w:val="000000"/>
                <w:sz w:val="28"/>
                <w:szCs w:val="28"/>
                <w:lang w:eastAsia="ru-RU"/>
              </w:rPr>
            </w:pPr>
            <m:oMath>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r>
                    <w:rPr>
                      <w:rFonts w:ascii="Cambria Math" w:hAnsi="Cambria Math" w:eastAsia="Times New Roman" w:cs="Times New Roman"/>
                      <w:color w:val="000000"/>
                      <w:sz w:val="28"/>
                      <w:szCs w:val="28"/>
                      <w:lang w:eastAsia="ru-RU"/>
                    </w:rPr>
                    <m:t>Р</m:t>
                  </m:r>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xml:space="preserve"> – объем перевозок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63" w:type="dxa"/>
            <w:vMerge w:val="continue"/>
          </w:tcPr>
          <w:p>
            <w:pPr>
              <w:spacing w:after="0" w:line="360" w:lineRule="auto"/>
              <w:rPr>
                <w:rFonts w:ascii="Times New Roman" w:hAnsi="Times New Roman" w:eastAsia="Calibri" w:cs="Times New Roman"/>
                <w:sz w:val="28"/>
                <w:szCs w:val="28"/>
              </w:rPr>
            </w:pPr>
          </w:p>
        </w:tc>
        <w:tc>
          <w:tcPr>
            <w:tcW w:w="2544" w:type="dxa"/>
            <w:vMerge w:val="continue"/>
          </w:tcPr>
          <w:p>
            <w:pPr>
              <w:spacing w:after="0" w:line="360" w:lineRule="auto"/>
              <w:contextualSpacing/>
              <w:rPr>
                <w:rFonts w:ascii="Times New Roman" w:hAnsi="Times New Roman" w:eastAsia="Calibri" w:cs="Times New Roman"/>
                <w:sz w:val="28"/>
                <w:szCs w:val="28"/>
              </w:rPr>
            </w:pPr>
          </w:p>
        </w:tc>
        <w:tc>
          <w:tcPr>
            <w:tcW w:w="2969" w:type="dxa"/>
          </w:tcPr>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Производительность грузового вагона и локомотива </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Calibri" w:cs="Times New Roman"/>
                <w:sz w:val="28"/>
                <w:szCs w:val="28"/>
              </w:rPr>
              <w:t xml:space="preserve">ткм. нетто </w:t>
            </w:r>
          </w:p>
        </w:tc>
        <w:tc>
          <w:tcPr>
            <w:tcW w:w="5631"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Среднесуточная производительность вагона характеризует его использование в процессе перевозки грузов</w:t>
            </w:r>
          </w:p>
          <w:p>
            <w:pPr>
              <w:spacing w:after="0" w:line="360" w:lineRule="auto"/>
              <w:rPr>
                <w:rFonts w:ascii="Times New Roman" w:hAnsi="Times New Roman" w:eastAsia="Times New Roman" w:cs="Times New Roman"/>
                <w:sz w:val="28"/>
                <w:szCs w:val="28"/>
                <w:lang w:eastAsia="ru-RU"/>
              </w:rPr>
            </w:pPr>
            <m:oMathPara>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val="en-US" w:eastAsia="ru-RU"/>
                      </w:rPr>
                      <m:t>W</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sSubSup>
                  <m:sSubSupPr>
                    <m:ctrlPr>
                      <w:rPr>
                        <w:rFonts w:ascii="Cambria Math" w:hAnsi="Cambria Math" w:eastAsia="Times New Roman" w:cs="Times New Roman"/>
                        <w:i/>
                        <w:sz w:val="28"/>
                        <w:szCs w:val="28"/>
                        <w:lang w:eastAsia="ru-RU"/>
                      </w:rPr>
                    </m:ctrlPr>
                  </m:sSubSupPr>
                  <m:e>
                    <m:r>
                      <w:rPr>
                        <w:rFonts w:ascii="Cambria Math" w:hAnsi="Cambria Math" w:eastAsia="Times New Roman" w:cs="Times New Roman"/>
                        <w:sz w:val="28"/>
                        <w:szCs w:val="28"/>
                        <w:lang w:eastAsia="ru-RU"/>
                      </w:rPr>
                      <m:t>Р</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дин</m:t>
                    </m:r>
                    <m:ctrlPr>
                      <w:rPr>
                        <w:rFonts w:ascii="Cambria Math" w:hAnsi="Cambria Math" w:eastAsia="Times New Roman" w:cs="Times New Roman"/>
                        <w:i/>
                        <w:sz w:val="28"/>
                        <w:szCs w:val="28"/>
                        <w:lang w:eastAsia="ru-RU"/>
                      </w:rPr>
                    </m:ctrlPr>
                  </m:sub>
                  <m:sup>
                    <m:r>
                      <w:rPr>
                        <w:rFonts w:ascii="Cambria Math" w:hAnsi="Cambria Math" w:eastAsia="Times New Roman" w:cs="Times New Roman"/>
                        <w:sz w:val="28"/>
                        <w:szCs w:val="28"/>
                        <w:lang w:eastAsia="ru-RU"/>
                      </w:rPr>
                      <m:t>гр</m:t>
                    </m:r>
                    <m:ctrlPr>
                      <w:rPr>
                        <w:rFonts w:ascii="Cambria Math" w:hAnsi="Cambria Math" w:eastAsia="Times New Roman" w:cs="Times New Roman"/>
                        <w:i/>
                        <w:sz w:val="28"/>
                        <w:szCs w:val="28"/>
                        <w:lang w:eastAsia="ru-RU"/>
                      </w:rPr>
                    </m:ctrlPr>
                  </m:sup>
                </m:sSubSup>
                <m:r>
                  <w:rPr>
                    <w:rFonts w:ascii="Cambria Math" w:hAnsi="Cambria Math" w:eastAsia="Times New Roman" w:cs="Times New Roman"/>
                    <w:sz w:val="28"/>
                    <w:szCs w:val="28"/>
                    <w:lang w:eastAsia="ru-RU"/>
                  </w:rPr>
                  <m:t>*</m:t>
                </m:r>
                <m:f>
                  <m:fPr>
                    <m:ctrlPr>
                      <w:rPr>
                        <w:rFonts w:ascii="Cambria Math" w:hAnsi="Cambria Math" w:eastAsia="Times New Roman" w:cs="Times New Roman"/>
                        <w:i/>
                        <w:sz w:val="28"/>
                        <w:szCs w:val="28"/>
                        <w:lang w:eastAsia="ru-RU"/>
                      </w:rPr>
                    </m:ctrlPr>
                  </m:fPr>
                  <m:num>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S</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num>
                  <m:den>
                    <m:r>
                      <w:rPr>
                        <w:rFonts w:ascii="Cambria Math" w:hAnsi="Cambria Math" w:eastAsia="Times New Roman" w:cs="Times New Roman"/>
                        <w:sz w:val="28"/>
                        <w:szCs w:val="28"/>
                        <w:lang w:eastAsia="ru-RU"/>
                      </w:rPr>
                      <m:t>1-</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α</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пор</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den>
                </m:f>
              </m:oMath>
            </m:oMathPara>
          </w:p>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где </w:t>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S</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среднесуточная производительность вагона</w:t>
            </w:r>
          </w:p>
          <w:p>
            <w:pPr>
              <w:spacing w:after="0" w:line="360" w:lineRule="auto"/>
              <w:rPr>
                <w:rFonts w:ascii="Times New Roman" w:hAnsi="Times New Roman" w:eastAsia="Times New Roman" w:cs="Times New Roman"/>
                <w:sz w:val="28"/>
                <w:szCs w:val="28"/>
                <w:lang w:eastAsia="ru-RU"/>
              </w:rPr>
            </w:pPr>
            <m:oMath>
              <m:sSubSup>
                <m:sSubSupPr>
                  <m:ctrlPr>
                    <w:rPr>
                      <w:rFonts w:ascii="Cambria Math" w:hAnsi="Cambria Math" w:eastAsia="Times New Roman" w:cs="Times New Roman"/>
                      <w:i/>
                      <w:sz w:val="28"/>
                      <w:szCs w:val="28"/>
                      <w:lang w:eastAsia="ru-RU"/>
                    </w:rPr>
                  </m:ctrlPr>
                </m:sSubSupPr>
                <m:e>
                  <m:r>
                    <w:rPr>
                      <w:rFonts w:ascii="Cambria Math" w:hAnsi="Cambria Math" w:eastAsia="Times New Roman" w:cs="Times New Roman"/>
                      <w:sz w:val="28"/>
                      <w:szCs w:val="28"/>
                      <w:lang w:eastAsia="ru-RU"/>
                    </w:rPr>
                    <m:t>Р</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дин</m:t>
                  </m:r>
                  <m:ctrlPr>
                    <w:rPr>
                      <w:rFonts w:ascii="Cambria Math" w:hAnsi="Cambria Math" w:eastAsia="Times New Roman" w:cs="Times New Roman"/>
                      <w:i/>
                      <w:sz w:val="28"/>
                      <w:szCs w:val="28"/>
                      <w:lang w:eastAsia="ru-RU"/>
                    </w:rPr>
                  </m:ctrlPr>
                </m:sub>
                <m:sup>
                  <m:r>
                    <w:rPr>
                      <w:rFonts w:ascii="Cambria Math" w:hAnsi="Cambria Math" w:eastAsia="Times New Roman" w:cs="Times New Roman"/>
                      <w:sz w:val="28"/>
                      <w:szCs w:val="28"/>
                      <w:lang w:eastAsia="ru-RU"/>
                    </w:rPr>
                    <m:t>гр</m:t>
                  </m:r>
                  <m:ctrlPr>
                    <w:rPr>
                      <w:rFonts w:ascii="Cambria Math" w:hAnsi="Cambria Math" w:eastAsia="Times New Roman" w:cs="Times New Roman"/>
                      <w:i/>
                      <w:sz w:val="28"/>
                      <w:szCs w:val="28"/>
                      <w:lang w:eastAsia="ru-RU"/>
                    </w:rPr>
                  </m:ctrlPr>
                </m:sup>
              </m:sSubSup>
            </m:oMath>
            <w:r>
              <w:rPr>
                <w:rFonts w:ascii="Times New Roman" w:hAnsi="Times New Roman" w:eastAsia="Times New Roman" w:cs="Times New Roman"/>
                <w:sz w:val="28"/>
                <w:szCs w:val="28"/>
                <w:lang w:eastAsia="ru-RU"/>
              </w:rPr>
              <w:t xml:space="preserve"> - средняя динамическая нагрузка на груженый вагон</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α</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пор</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xml:space="preserve"> - коэффициент порожнего пробега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63" w:type="dxa"/>
            <w:vMerge w:val="continue"/>
          </w:tcPr>
          <w:p>
            <w:pPr>
              <w:spacing w:after="0" w:line="360" w:lineRule="auto"/>
              <w:rPr>
                <w:rFonts w:ascii="Times New Roman" w:hAnsi="Times New Roman" w:eastAsia="Calibri" w:cs="Times New Roman"/>
                <w:sz w:val="28"/>
                <w:szCs w:val="28"/>
              </w:rPr>
            </w:pPr>
          </w:p>
        </w:tc>
        <w:tc>
          <w:tcPr>
            <w:tcW w:w="2544" w:type="dxa"/>
            <w:vMerge w:val="continue"/>
          </w:tcPr>
          <w:p>
            <w:pPr>
              <w:spacing w:after="0" w:line="360" w:lineRule="auto"/>
              <w:contextualSpacing/>
              <w:rPr>
                <w:rFonts w:ascii="Times New Roman" w:hAnsi="Times New Roman" w:eastAsia="Calibri" w:cs="Times New Roman"/>
                <w:sz w:val="28"/>
                <w:szCs w:val="28"/>
              </w:rPr>
            </w:pPr>
          </w:p>
        </w:tc>
        <w:tc>
          <w:tcPr>
            <w:tcW w:w="2969" w:type="dxa"/>
          </w:tcPr>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Коэффициент порожнего пробега вагона</w:t>
            </w:r>
          </w:p>
        </w:tc>
        <w:tc>
          <w:tcPr>
            <w:tcW w:w="1176" w:type="dxa"/>
          </w:tcPr>
          <w:p>
            <w:pPr>
              <w:spacing w:after="0" w:line="360" w:lineRule="auto"/>
              <w:rPr>
                <w:rFonts w:ascii="Times New Roman" w:hAnsi="Times New Roman" w:eastAsia="Times New Roman" w:cs="Times New Roman"/>
                <w:color w:val="000000"/>
                <w:sz w:val="28"/>
                <w:szCs w:val="28"/>
                <w:lang w:eastAsia="ru-RU"/>
              </w:rPr>
            </w:pPr>
          </w:p>
        </w:tc>
        <w:tc>
          <w:tcPr>
            <w:tcW w:w="5631" w:type="dxa"/>
          </w:tcPr>
          <w:p>
            <w:pPr>
              <w:spacing w:after="0" w:line="360" w:lineRule="auto"/>
              <w:rPr>
                <w:rFonts w:ascii="Times New Roman" w:hAnsi="Times New Roman" w:eastAsia="Times New Roman" w:cs="Times New Roman"/>
                <w:color w:val="000000"/>
                <w:sz w:val="28"/>
                <w:szCs w:val="28"/>
                <w:lang w:eastAsia="ru-RU"/>
              </w:rPr>
            </w:pPr>
            <m:oMath>
              <m:r>
                <w:rPr>
                  <w:rFonts w:ascii="Cambria Math" w:hAnsi="Cambria Math" w:eastAsia="Times New Roman" w:cs="Times New Roman"/>
                  <w:color w:val="000000"/>
                  <w:sz w:val="28"/>
                  <w:szCs w:val="28"/>
                  <w:lang w:eastAsia="ru-RU"/>
                </w:rPr>
                <m:t>L=</m:t>
              </m:r>
              <m:f>
                <m:fPr>
                  <m:ctrlPr>
                    <w:rPr>
                      <w:rFonts w:ascii="Cambria Math" w:hAnsi="Cambria Math" w:eastAsia="Times New Roman" w:cs="Times New Roman"/>
                      <w:i/>
                      <w:color w:val="000000"/>
                      <w:sz w:val="28"/>
                      <w:szCs w:val="28"/>
                      <w:lang w:eastAsia="ru-RU"/>
                    </w:rPr>
                  </m:ctrlPr>
                </m:fPr>
                <m:num>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WS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пор</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ctrlPr>
                    <w:rPr>
                      <w:rFonts w:ascii="Cambria Math" w:hAnsi="Cambria Math" w:eastAsia="Times New Roman" w:cs="Times New Roman"/>
                      <w:i/>
                      <w:color w:val="000000"/>
                      <w:sz w:val="28"/>
                      <w:szCs w:val="28"/>
                      <w:lang w:eastAsia="ru-RU"/>
                    </w:rPr>
                  </m:ctrlPr>
                </m:num>
                <m:den>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WS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ctrlPr>
                    <w:rPr>
                      <w:rFonts w:ascii="Cambria Math" w:hAnsi="Cambria Math" w:eastAsia="Times New Roman" w:cs="Times New Roman"/>
                      <w:i/>
                      <w:color w:val="000000"/>
                      <w:sz w:val="28"/>
                      <w:szCs w:val="28"/>
                      <w:lang w:eastAsia="ru-RU"/>
                    </w:rPr>
                  </m:ctrlPr>
                </m:den>
              </m:f>
            </m:oMath>
            <w:r>
              <w:rPr>
                <w:rFonts w:ascii="Times New Roman" w:hAnsi="Times New Roman" w:eastAsia="Times New Roman" w:cs="Times New Roman"/>
                <w:color w:val="000000"/>
                <w:sz w:val="28"/>
                <w:szCs w:val="28"/>
                <w:lang w:eastAsia="ru-RU"/>
              </w:rPr>
              <w:t xml:space="preserve"> </w:t>
            </w:r>
          </w:p>
          <w:p>
            <w:pPr>
              <w:spacing w:after="0" w:line="360" w:lineRule="auto"/>
              <w:rPr>
                <w:rFonts w:ascii="Times New Roman" w:hAnsi="Times New Roman" w:eastAsia="Times New Roman" w:cs="Times New Roman"/>
                <w:color w:val="000000"/>
                <w:sz w:val="28"/>
                <w:szCs w:val="28"/>
                <w:lang w:eastAsia="ru-RU"/>
              </w:rPr>
            </w:pPr>
            <m:oMath>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WS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пор</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xml:space="preserve"> – пробег вагона в порожнем состоянии</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пробег вагона в порожнем состоянии</w:t>
            </w:r>
          </w:p>
          <w:p>
            <w:pPr>
              <w:spacing w:after="0" w:line="360" w:lineRule="auto"/>
              <w:rPr>
                <w:rFonts w:ascii="Times New Roman" w:hAnsi="Times New Roman" w:eastAsia="Times New Roman" w:cs="Times New Roman"/>
                <w:color w:val="000000"/>
                <w:sz w:val="28"/>
                <w:szCs w:val="28"/>
                <w:lang w:eastAsia="ru-RU"/>
              </w:rPr>
            </w:pPr>
            <m:oMath>
              <m:nary>
                <m:naryPr>
                  <m:chr m:val="∑"/>
                  <m:limLoc m:val="undOvr"/>
                  <m:subHide m:val="1"/>
                  <m:supHide m:val="1"/>
                  <m:ctrlPr>
                    <w:rPr>
                      <w:rFonts w:ascii="Cambria Math" w:hAnsi="Cambria Math" w:eastAsia="Times New Roman" w:cs="Times New Roman"/>
                      <w:i/>
                      <w:color w:val="000000"/>
                      <w:sz w:val="28"/>
                      <w:szCs w:val="28"/>
                      <w:lang w:eastAsia="ru-RU"/>
                    </w:rPr>
                  </m:ctrlPr>
                </m:naryPr>
                <m:sub>
                  <m:ctrlPr>
                    <w:rPr>
                      <w:rFonts w:ascii="Cambria Math" w:hAnsi="Cambria Math" w:eastAsia="Times New Roman" w:cs="Times New Roman"/>
                      <w:i/>
                      <w:color w:val="000000"/>
                      <w:sz w:val="28"/>
                      <w:szCs w:val="28"/>
                      <w:lang w:eastAsia="ru-RU"/>
                    </w:rPr>
                  </m:ctrlPr>
                </m:sub>
                <m:sup>
                  <m:ctrlPr>
                    <w:rPr>
                      <w:rFonts w:ascii="Cambria Math" w:hAnsi="Cambria Math" w:eastAsia="Times New Roman" w:cs="Times New Roman"/>
                      <w:i/>
                      <w:color w:val="000000"/>
                      <w:sz w:val="28"/>
                      <w:szCs w:val="28"/>
                      <w:lang w:eastAsia="ru-RU"/>
                    </w:rPr>
                  </m:ctrlPr>
                </m:sup>
                <m:e>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WS</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гр</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e>
              </m:nary>
            </m:oMath>
            <w:r>
              <w:rPr>
                <w:rFonts w:ascii="Times New Roman" w:hAnsi="Times New Roman" w:eastAsia="Times New Roman" w:cs="Times New Roman"/>
                <w:color w:val="000000"/>
                <w:sz w:val="28"/>
                <w:szCs w:val="28"/>
                <w:lang w:eastAsia="ru-RU"/>
              </w:rPr>
              <w:t>- пробег вагона в груженом состоянии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63" w:type="dxa"/>
            <w:vMerge w:val="continue"/>
          </w:tcPr>
          <w:p>
            <w:pPr>
              <w:spacing w:after="0" w:line="360" w:lineRule="auto"/>
              <w:rPr>
                <w:rFonts w:ascii="Times New Roman" w:hAnsi="Times New Roman" w:eastAsia="Calibri" w:cs="Times New Roman"/>
                <w:sz w:val="28"/>
                <w:szCs w:val="28"/>
              </w:rPr>
            </w:pPr>
          </w:p>
        </w:tc>
        <w:tc>
          <w:tcPr>
            <w:tcW w:w="2544" w:type="dxa"/>
            <w:vMerge w:val="continue"/>
          </w:tcPr>
          <w:p>
            <w:pPr>
              <w:spacing w:after="0" w:line="360" w:lineRule="auto"/>
              <w:contextualSpacing/>
              <w:rPr>
                <w:rFonts w:ascii="Times New Roman" w:hAnsi="Times New Roman" w:eastAsia="Calibri" w:cs="Times New Roman"/>
                <w:sz w:val="28"/>
                <w:szCs w:val="28"/>
              </w:rPr>
            </w:pPr>
          </w:p>
        </w:tc>
        <w:tc>
          <w:tcPr>
            <w:tcW w:w="2969" w:type="dxa"/>
          </w:tcPr>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Среднесуточная производительность вагона </w:t>
            </w:r>
          </w:p>
        </w:tc>
        <w:tc>
          <w:tcPr>
            <w:tcW w:w="1176" w:type="dxa"/>
          </w:tcPr>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Calibri" w:cs="Times New Roman"/>
                <w:sz w:val="28"/>
                <w:szCs w:val="28"/>
              </w:rPr>
              <w:t>(ткм/ваг в сутки)</w:t>
            </w:r>
          </w:p>
        </w:tc>
        <w:tc>
          <w:tcPr>
            <w:tcW w:w="5631"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Среднесуточная производительность вагона характеризует его использование в процессе перевозки грузов</w:t>
            </w:r>
          </w:p>
          <w:p>
            <w:pPr>
              <w:spacing w:after="0" w:line="360" w:lineRule="auto"/>
              <w:rPr>
                <w:rFonts w:ascii="Times New Roman" w:hAnsi="Times New Roman" w:eastAsia="Times New Roman" w:cs="Times New Roman"/>
                <w:sz w:val="28"/>
                <w:szCs w:val="28"/>
                <w:lang w:eastAsia="ru-RU"/>
              </w:rPr>
            </w:pPr>
            <m:oMathPara>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val="en-US" w:eastAsia="ru-RU"/>
                      </w:rPr>
                      <m:t>W</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r>
                  <w:rPr>
                    <w:rFonts w:ascii="Cambria Math" w:hAnsi="Cambria Math" w:eastAsia="Times New Roman" w:cs="Times New Roman"/>
                    <w:sz w:val="28"/>
                    <w:szCs w:val="28"/>
                    <w:lang w:eastAsia="ru-RU"/>
                  </w:rPr>
                  <m:t>=</m:t>
                </m:r>
                <m:sSubSup>
                  <m:sSubSupPr>
                    <m:ctrlPr>
                      <w:rPr>
                        <w:rFonts w:ascii="Cambria Math" w:hAnsi="Cambria Math" w:eastAsia="Times New Roman" w:cs="Times New Roman"/>
                        <w:i/>
                        <w:sz w:val="28"/>
                        <w:szCs w:val="28"/>
                        <w:lang w:eastAsia="ru-RU"/>
                      </w:rPr>
                    </m:ctrlPr>
                  </m:sSubSupPr>
                  <m:e>
                    <m:r>
                      <w:rPr>
                        <w:rFonts w:ascii="Cambria Math" w:hAnsi="Cambria Math" w:eastAsia="Times New Roman" w:cs="Times New Roman"/>
                        <w:sz w:val="28"/>
                        <w:szCs w:val="28"/>
                        <w:lang w:eastAsia="ru-RU"/>
                      </w:rPr>
                      <m:t>Р</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дин</m:t>
                    </m:r>
                    <m:ctrlPr>
                      <w:rPr>
                        <w:rFonts w:ascii="Cambria Math" w:hAnsi="Cambria Math" w:eastAsia="Times New Roman" w:cs="Times New Roman"/>
                        <w:i/>
                        <w:sz w:val="28"/>
                        <w:szCs w:val="28"/>
                        <w:lang w:eastAsia="ru-RU"/>
                      </w:rPr>
                    </m:ctrlPr>
                  </m:sub>
                  <m:sup>
                    <m:r>
                      <w:rPr>
                        <w:rFonts w:ascii="Cambria Math" w:hAnsi="Cambria Math" w:eastAsia="Times New Roman" w:cs="Times New Roman"/>
                        <w:sz w:val="28"/>
                        <w:szCs w:val="28"/>
                        <w:lang w:eastAsia="ru-RU"/>
                      </w:rPr>
                      <m:t>гр</m:t>
                    </m:r>
                    <m:ctrlPr>
                      <w:rPr>
                        <w:rFonts w:ascii="Cambria Math" w:hAnsi="Cambria Math" w:eastAsia="Times New Roman" w:cs="Times New Roman"/>
                        <w:i/>
                        <w:sz w:val="28"/>
                        <w:szCs w:val="28"/>
                        <w:lang w:eastAsia="ru-RU"/>
                      </w:rPr>
                    </m:ctrlPr>
                  </m:sup>
                </m:sSubSup>
                <m:r>
                  <w:rPr>
                    <w:rFonts w:ascii="Cambria Math" w:hAnsi="Cambria Math" w:eastAsia="Times New Roman" w:cs="Times New Roman"/>
                    <w:sz w:val="28"/>
                    <w:szCs w:val="28"/>
                    <w:lang w:eastAsia="ru-RU"/>
                  </w:rPr>
                  <m:t>*</m:t>
                </m:r>
                <m:f>
                  <m:fPr>
                    <m:ctrlPr>
                      <w:rPr>
                        <w:rFonts w:ascii="Cambria Math" w:hAnsi="Cambria Math" w:eastAsia="Times New Roman" w:cs="Times New Roman"/>
                        <w:i/>
                        <w:sz w:val="28"/>
                        <w:szCs w:val="28"/>
                        <w:lang w:eastAsia="ru-RU"/>
                      </w:rPr>
                    </m:ctrlPr>
                  </m:fPr>
                  <m:num>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S</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num>
                  <m:den>
                    <m:r>
                      <w:rPr>
                        <w:rFonts w:ascii="Cambria Math" w:hAnsi="Cambria Math" w:eastAsia="Times New Roman" w:cs="Times New Roman"/>
                        <w:sz w:val="28"/>
                        <w:szCs w:val="28"/>
                        <w:lang w:eastAsia="ru-RU"/>
                      </w:rPr>
                      <m:t>1-</m:t>
                    </m:r>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α</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пор</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den>
                </m:f>
              </m:oMath>
            </m:oMathPara>
          </w:p>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где </w:t>
            </w: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S</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в</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среднесуточная производительность вагона</w:t>
            </w:r>
          </w:p>
          <w:p>
            <w:pPr>
              <w:spacing w:after="0" w:line="360" w:lineRule="auto"/>
              <w:rPr>
                <w:rFonts w:ascii="Times New Roman" w:hAnsi="Times New Roman" w:eastAsia="Times New Roman" w:cs="Times New Roman"/>
                <w:sz w:val="28"/>
                <w:szCs w:val="28"/>
                <w:lang w:eastAsia="ru-RU"/>
              </w:rPr>
            </w:pPr>
            <m:oMath>
              <m:sSubSup>
                <m:sSubSupPr>
                  <m:ctrlPr>
                    <w:rPr>
                      <w:rFonts w:ascii="Cambria Math" w:hAnsi="Cambria Math" w:eastAsia="Times New Roman" w:cs="Times New Roman"/>
                      <w:i/>
                      <w:sz w:val="28"/>
                      <w:szCs w:val="28"/>
                      <w:lang w:eastAsia="ru-RU"/>
                    </w:rPr>
                  </m:ctrlPr>
                </m:sSubSupPr>
                <m:e>
                  <m:r>
                    <w:rPr>
                      <w:rFonts w:ascii="Cambria Math" w:hAnsi="Cambria Math" w:eastAsia="Times New Roman" w:cs="Times New Roman"/>
                      <w:sz w:val="28"/>
                      <w:szCs w:val="28"/>
                      <w:lang w:eastAsia="ru-RU"/>
                    </w:rPr>
                    <m:t>Р</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дин</m:t>
                  </m:r>
                  <m:ctrlPr>
                    <w:rPr>
                      <w:rFonts w:ascii="Cambria Math" w:hAnsi="Cambria Math" w:eastAsia="Times New Roman" w:cs="Times New Roman"/>
                      <w:i/>
                      <w:sz w:val="28"/>
                      <w:szCs w:val="28"/>
                      <w:lang w:eastAsia="ru-RU"/>
                    </w:rPr>
                  </m:ctrlPr>
                </m:sub>
                <m:sup>
                  <m:r>
                    <w:rPr>
                      <w:rFonts w:ascii="Cambria Math" w:hAnsi="Cambria Math" w:eastAsia="Times New Roman" w:cs="Times New Roman"/>
                      <w:sz w:val="28"/>
                      <w:szCs w:val="28"/>
                      <w:lang w:eastAsia="ru-RU"/>
                    </w:rPr>
                    <m:t>гр</m:t>
                  </m:r>
                  <m:ctrlPr>
                    <w:rPr>
                      <w:rFonts w:ascii="Cambria Math" w:hAnsi="Cambria Math" w:eastAsia="Times New Roman" w:cs="Times New Roman"/>
                      <w:i/>
                      <w:sz w:val="28"/>
                      <w:szCs w:val="28"/>
                      <w:lang w:eastAsia="ru-RU"/>
                    </w:rPr>
                  </m:ctrlPr>
                </m:sup>
              </m:sSubSup>
            </m:oMath>
            <w:r>
              <w:rPr>
                <w:rFonts w:ascii="Times New Roman" w:hAnsi="Times New Roman" w:eastAsia="Times New Roman" w:cs="Times New Roman"/>
                <w:sz w:val="28"/>
                <w:szCs w:val="28"/>
                <w:lang w:eastAsia="ru-RU"/>
              </w:rPr>
              <w:t xml:space="preserve"> - средняя динамическая нагрузка на груженый вагон</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sz w:val="28"/>
                      <w:szCs w:val="28"/>
                      <w:lang w:eastAsia="ru-RU"/>
                    </w:rPr>
                  </m:ctrlPr>
                </m:sSubPr>
                <m:e>
                  <m:r>
                    <w:rPr>
                      <w:rFonts w:ascii="Cambria Math" w:hAnsi="Cambria Math" w:eastAsia="Times New Roman" w:cs="Times New Roman"/>
                      <w:sz w:val="28"/>
                      <w:szCs w:val="28"/>
                      <w:lang w:eastAsia="ru-RU"/>
                    </w:rPr>
                    <m:t>α</m:t>
                  </m:r>
                  <m:ctrlPr>
                    <w:rPr>
                      <w:rFonts w:ascii="Cambria Math" w:hAnsi="Cambria Math" w:eastAsia="Times New Roman" w:cs="Times New Roman"/>
                      <w:i/>
                      <w:sz w:val="28"/>
                      <w:szCs w:val="28"/>
                      <w:lang w:eastAsia="ru-RU"/>
                    </w:rPr>
                  </m:ctrlPr>
                </m:e>
                <m:sub>
                  <m:r>
                    <w:rPr>
                      <w:rFonts w:ascii="Cambria Math" w:hAnsi="Cambria Math" w:eastAsia="Times New Roman" w:cs="Times New Roman"/>
                      <w:sz w:val="28"/>
                      <w:szCs w:val="28"/>
                      <w:lang w:eastAsia="ru-RU"/>
                    </w:rPr>
                    <m:t>пор</m:t>
                  </m:r>
                  <m:ctrlPr>
                    <w:rPr>
                      <w:rFonts w:ascii="Cambria Math" w:hAnsi="Cambria Math" w:eastAsia="Times New Roman" w:cs="Times New Roman"/>
                      <w:i/>
                      <w:sz w:val="28"/>
                      <w:szCs w:val="28"/>
                      <w:lang w:eastAsia="ru-RU"/>
                    </w:rPr>
                  </m:ctrlPr>
                </m:sub>
              </m:sSub>
            </m:oMath>
            <w:r>
              <w:rPr>
                <w:rFonts w:ascii="Times New Roman" w:hAnsi="Times New Roman" w:eastAsia="Times New Roman" w:cs="Times New Roman"/>
                <w:sz w:val="28"/>
                <w:szCs w:val="28"/>
                <w:lang w:eastAsia="ru-RU"/>
              </w:rPr>
              <w:t xml:space="preserve"> - коэффициент порожнего пробега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263" w:type="dxa"/>
            <w:vMerge w:val="continue"/>
          </w:tcPr>
          <w:p>
            <w:pPr>
              <w:spacing w:after="0" w:line="360" w:lineRule="auto"/>
              <w:rPr>
                <w:rFonts w:ascii="Times New Roman" w:hAnsi="Times New Roman" w:eastAsia="Calibri" w:cs="Times New Roman"/>
                <w:sz w:val="28"/>
                <w:szCs w:val="28"/>
              </w:rPr>
            </w:pPr>
          </w:p>
        </w:tc>
        <w:tc>
          <w:tcPr>
            <w:tcW w:w="2544" w:type="dxa"/>
            <w:vMerge w:val="continue"/>
          </w:tcPr>
          <w:p>
            <w:pPr>
              <w:spacing w:after="0" w:line="360" w:lineRule="auto"/>
              <w:contextualSpacing/>
              <w:rPr>
                <w:rFonts w:ascii="Times New Roman" w:hAnsi="Times New Roman" w:eastAsia="Calibri" w:cs="Times New Roman"/>
                <w:sz w:val="28"/>
                <w:szCs w:val="28"/>
              </w:rPr>
            </w:pPr>
          </w:p>
        </w:tc>
        <w:tc>
          <w:tcPr>
            <w:tcW w:w="2969" w:type="dxa"/>
          </w:tcPr>
          <w:p>
            <w:pPr>
              <w:spacing w:after="0" w:line="360" w:lineRule="auto"/>
              <w:rPr>
                <w:rFonts w:ascii="Times New Roman" w:hAnsi="Times New Roman" w:eastAsia="Calibri" w:cs="Times New Roman"/>
                <w:sz w:val="28"/>
                <w:szCs w:val="28"/>
              </w:rPr>
            </w:pP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Среднюю скорость движения</w:t>
            </w:r>
          </w:p>
        </w:tc>
        <w:tc>
          <w:tcPr>
            <w:tcW w:w="1176"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Км/сут</w:t>
            </w:r>
          </w:p>
        </w:tc>
        <w:tc>
          <w:tcPr>
            <w:tcW w:w="5631" w:type="dxa"/>
          </w:tcPr>
          <w:p>
            <w:pPr>
              <w:spacing w:after="0" w:line="360" w:lineRule="auto"/>
              <w:rPr>
                <w:rFonts w:ascii="Times New Roman" w:hAnsi="Times New Roman" w:eastAsia="Times New Roman" w:cs="Times New Roman"/>
                <w:color w:val="000000"/>
                <w:sz w:val="28"/>
                <w:szCs w:val="28"/>
                <w:lang w:eastAsia="ru-RU"/>
              </w:rPr>
            </w:pPr>
            <m:oMathPara>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V</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х</m:t>
                    </m:r>
                    <m:ctrlPr>
                      <w:rPr>
                        <w:rFonts w:ascii="Cambria Math" w:hAnsi="Cambria Math" w:eastAsia="Times New Roman" w:cs="Times New Roman"/>
                        <w:i/>
                        <w:color w:val="000000"/>
                        <w:sz w:val="28"/>
                        <w:szCs w:val="28"/>
                        <w:lang w:eastAsia="ru-RU"/>
                      </w:rPr>
                    </m:ctrlPr>
                  </m:sub>
                </m:sSub>
                <m:r>
                  <w:rPr>
                    <w:rFonts w:ascii="Cambria Math" w:hAnsi="Cambria Math" w:eastAsia="Times New Roman" w:cs="Times New Roman"/>
                    <w:color w:val="000000"/>
                    <w:sz w:val="28"/>
                    <w:szCs w:val="28"/>
                    <w:lang w:eastAsia="ru-RU"/>
                  </w:rPr>
                  <m:t>=</m:t>
                </m:r>
                <m:f>
                  <m:fPr>
                    <m:ctrlPr>
                      <w:rPr>
                        <w:rFonts w:ascii="Cambria Math" w:hAnsi="Cambria Math" w:eastAsia="Times New Roman" w:cs="Times New Roman"/>
                        <w:i/>
                        <w:color w:val="000000"/>
                        <w:sz w:val="28"/>
                        <w:szCs w:val="28"/>
                        <w:lang w:eastAsia="ru-RU"/>
                      </w:rPr>
                    </m:ctrlPr>
                  </m:fPr>
                  <m:num>
                    <m:r>
                      <w:rPr>
                        <w:rFonts w:ascii="Cambria Math" w:hAnsi="Cambria Math" w:eastAsia="Times New Roman" w:cs="Times New Roman"/>
                        <w:color w:val="000000"/>
                        <w:sz w:val="28"/>
                        <w:szCs w:val="28"/>
                        <w:lang w:val="en-US" w:eastAsia="ru-RU"/>
                      </w:rPr>
                      <m:t>L</m:t>
                    </m:r>
                    <m:ctrlPr>
                      <w:rPr>
                        <w:rFonts w:ascii="Cambria Math" w:hAnsi="Cambria Math" w:eastAsia="Times New Roman" w:cs="Times New Roman"/>
                        <w:i/>
                        <w:color w:val="000000"/>
                        <w:sz w:val="28"/>
                        <w:szCs w:val="28"/>
                        <w:lang w:eastAsia="ru-RU"/>
                      </w:rPr>
                    </m:ctrlPr>
                  </m:num>
                  <m:den>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x</m:t>
                        </m:r>
                        <m:ctrlPr>
                          <w:rPr>
                            <w:rFonts w:ascii="Cambria Math" w:hAnsi="Cambria Math" w:eastAsia="Times New Roman" w:cs="Times New Roman"/>
                            <w:i/>
                            <w:color w:val="000000"/>
                            <w:sz w:val="28"/>
                            <w:szCs w:val="28"/>
                            <w:lang w:eastAsia="ru-RU"/>
                          </w:rPr>
                        </m:ctrlPr>
                      </m:sub>
                    </m:sSub>
                    <m:ctrlPr>
                      <w:rPr>
                        <w:rFonts w:ascii="Cambria Math" w:hAnsi="Cambria Math" w:eastAsia="Times New Roman" w:cs="Times New Roman"/>
                        <w:i/>
                        <w:color w:val="000000"/>
                        <w:sz w:val="28"/>
                        <w:szCs w:val="28"/>
                        <w:lang w:eastAsia="ru-RU"/>
                      </w:rPr>
                    </m:ctrlPr>
                  </m:den>
                </m:f>
              </m:oMath>
            </m:oMathPara>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Где </w:t>
            </w:r>
            <m:oMath>
              <m:r>
                <w:rPr>
                  <w:rFonts w:ascii="Cambria Math" w:hAnsi="Cambria Math" w:eastAsia="Times New Roman" w:cs="Times New Roman"/>
                  <w:color w:val="000000"/>
                  <w:sz w:val="28"/>
                  <w:szCs w:val="28"/>
                  <w:lang w:val="en-US" w:eastAsia="ru-RU"/>
                </w:rPr>
                <m:t>L</m:t>
              </m:r>
            </m:oMath>
            <w:r>
              <w:rPr>
                <w:rFonts w:ascii="Times New Roman" w:hAnsi="Times New Roman" w:eastAsia="Times New Roman" w:cs="Times New Roman"/>
                <w:color w:val="000000"/>
                <w:sz w:val="28"/>
                <w:szCs w:val="28"/>
                <w:lang w:eastAsia="ru-RU"/>
              </w:rPr>
              <w:t xml:space="preserve"> – расстояние, км</w:t>
            </w:r>
          </w:p>
          <w:p>
            <w:pPr>
              <w:spacing w:after="0" w:line="360" w:lineRule="auto"/>
              <w:rPr>
                <w:rFonts w:ascii="Times New Roman" w:hAnsi="Times New Roman" w:eastAsia="Times New Roman" w:cs="Times New Roman"/>
                <w:color w:val="000000"/>
                <w:sz w:val="28"/>
                <w:szCs w:val="28"/>
                <w:lang w:eastAsia="ru-RU"/>
              </w:rPr>
            </w:pPr>
            <m:oMath>
              <m:sSub>
                <m:sSubPr>
                  <m:ctrlPr>
                    <w:rPr>
                      <w:rFonts w:ascii="Cambria Math" w:hAnsi="Cambria Math" w:eastAsia="Times New Roman" w:cs="Times New Roman"/>
                      <w:i/>
                      <w:color w:val="000000"/>
                      <w:sz w:val="28"/>
                      <w:szCs w:val="28"/>
                      <w:lang w:eastAsia="ru-RU"/>
                    </w:rPr>
                  </m:ctrlPr>
                </m:sSubPr>
                <m:e>
                  <m:r>
                    <w:rPr>
                      <w:rFonts w:ascii="Cambria Math" w:hAnsi="Cambria Math" w:eastAsia="Times New Roman" w:cs="Times New Roman"/>
                      <w:color w:val="000000"/>
                      <w:sz w:val="28"/>
                      <w:szCs w:val="28"/>
                      <w:lang w:eastAsia="ru-RU"/>
                    </w:rPr>
                    <m:t>t</m:t>
                  </m:r>
                  <m:ctrlPr>
                    <w:rPr>
                      <w:rFonts w:ascii="Cambria Math" w:hAnsi="Cambria Math" w:eastAsia="Times New Roman" w:cs="Times New Roman"/>
                      <w:i/>
                      <w:color w:val="000000"/>
                      <w:sz w:val="28"/>
                      <w:szCs w:val="28"/>
                      <w:lang w:eastAsia="ru-RU"/>
                    </w:rPr>
                  </m:ctrlPr>
                </m:e>
                <m:sub>
                  <m:r>
                    <w:rPr>
                      <w:rFonts w:ascii="Cambria Math" w:hAnsi="Cambria Math" w:eastAsia="Times New Roman" w:cs="Times New Roman"/>
                      <w:color w:val="000000"/>
                      <w:sz w:val="28"/>
                      <w:szCs w:val="28"/>
                      <w:lang w:eastAsia="ru-RU"/>
                    </w:rPr>
                    <m:t>x</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color w:val="000000"/>
                <w:sz w:val="28"/>
                <w:szCs w:val="28"/>
                <w:lang w:eastAsia="ru-RU"/>
              </w:rPr>
              <w:t xml:space="preserve"> – время хода, сут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263" w:type="dxa"/>
            <w:vMerge w:val="continue"/>
          </w:tcPr>
          <w:p>
            <w:pPr>
              <w:spacing w:after="0" w:line="360" w:lineRule="auto"/>
              <w:rPr>
                <w:rFonts w:ascii="Times New Roman" w:hAnsi="Times New Roman" w:eastAsia="Calibri" w:cs="Times New Roman"/>
                <w:sz w:val="28"/>
                <w:szCs w:val="28"/>
              </w:rPr>
            </w:pPr>
          </w:p>
        </w:tc>
        <w:tc>
          <w:tcPr>
            <w:tcW w:w="2544" w:type="dxa"/>
            <w:vMerge w:val="continue"/>
          </w:tcPr>
          <w:p>
            <w:pPr>
              <w:spacing w:after="0" w:line="360" w:lineRule="auto"/>
              <w:contextualSpacing/>
              <w:rPr>
                <w:rFonts w:ascii="Times New Roman" w:hAnsi="Times New Roman" w:eastAsia="Calibri" w:cs="Times New Roman"/>
                <w:sz w:val="28"/>
                <w:szCs w:val="28"/>
              </w:rPr>
            </w:pPr>
          </w:p>
        </w:tc>
        <w:tc>
          <w:tcPr>
            <w:tcW w:w="2969" w:type="dxa"/>
          </w:tcPr>
          <w:p>
            <w:pPr>
              <w:spacing w:after="0" w:line="360" w:lineRule="auto"/>
              <w:rPr>
                <w:rFonts w:ascii="Times New Roman" w:hAnsi="Times New Roman" w:eastAsia="Calibri" w:cs="Times New Roman"/>
                <w:sz w:val="28"/>
                <w:szCs w:val="28"/>
              </w:rPr>
            </w:pP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Срока окупаемости вагонов </w:t>
            </w:r>
          </w:p>
        </w:tc>
        <w:tc>
          <w:tcPr>
            <w:tcW w:w="1176" w:type="dxa"/>
          </w:tcPr>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rPr>
                <w:rFonts w:ascii="Times New Roman" w:hAnsi="Times New Roman" w:eastAsia="Times New Roman" w:cs="Times New Roman"/>
                <w:color w:val="000000"/>
                <w:sz w:val="28"/>
                <w:szCs w:val="28"/>
                <w:lang w:eastAsia="ru-RU"/>
              </w:rPr>
            </w:pPr>
          </w:p>
          <w:p>
            <w:pPr>
              <w:spacing w:after="0" w:line="36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лет</w:t>
            </w:r>
          </w:p>
        </w:tc>
        <w:tc>
          <w:tcPr>
            <w:tcW w:w="5631" w:type="dxa"/>
          </w:tcPr>
          <w:p>
            <w:pPr>
              <w:spacing w:after="0" w:line="360" w:lineRule="auto"/>
              <w:rPr>
                <w:rFonts w:ascii="Times New Roman" w:hAnsi="Times New Roman" w:eastAsia="Times New Roman" w:cs="Times New Roman"/>
                <w:sz w:val="28"/>
                <w:szCs w:val="28"/>
              </w:rPr>
            </w:pPr>
            <m:oMathPara>
              <m:oMath>
                <m:sSub>
                  <m:sSubPr>
                    <m:ctrlPr>
                      <w:rPr>
                        <w:rFonts w:ascii="Cambria Math" w:hAnsi="Cambria Math" w:eastAsia="Calibri" w:cs="Times New Roman"/>
                        <w:sz w:val="28"/>
                        <w:szCs w:val="28"/>
                      </w:rPr>
                    </m:ctrlPr>
                  </m:sSubPr>
                  <m:e>
                    <m:r>
                      <m:rPr>
                        <m:sty m:val="p"/>
                      </m:rPr>
                      <w:rPr>
                        <w:rFonts w:ascii="Cambria Math" w:hAnsi="Cambria Math" w:eastAsia="Calibri" w:cs="Times New Roman"/>
                        <w:sz w:val="28"/>
                        <w:szCs w:val="28"/>
                      </w:rPr>
                      <m:t>Т</m:t>
                    </m:r>
                    <m:ctrlPr>
                      <w:rPr>
                        <w:rFonts w:ascii="Cambria Math" w:hAnsi="Cambria Math" w:eastAsia="Calibri" w:cs="Times New Roman"/>
                        <w:sz w:val="28"/>
                        <w:szCs w:val="28"/>
                      </w:rPr>
                    </m:ctrlPr>
                  </m:e>
                  <m:sub>
                    <m:r>
                      <m:rPr>
                        <m:sty m:val="p"/>
                      </m:rPr>
                      <w:rPr>
                        <w:rFonts w:ascii="Cambria Math" w:hAnsi="Cambria Math" w:eastAsia="Calibri" w:cs="Times New Roman"/>
                        <w:sz w:val="28"/>
                        <w:szCs w:val="28"/>
                      </w:rPr>
                      <m:t>ок</m:t>
                    </m:r>
                    <m:ctrlPr>
                      <w:rPr>
                        <w:rFonts w:ascii="Cambria Math" w:hAnsi="Cambria Math" w:eastAsia="Calibri" w:cs="Times New Roman"/>
                        <w:sz w:val="28"/>
                        <w:szCs w:val="28"/>
                      </w:rPr>
                    </m:ctrlPr>
                  </m:sub>
                </m:sSub>
                <m:r>
                  <m:rPr>
                    <m:sty m:val="p"/>
                  </m:rPr>
                  <w:rPr>
                    <w:rFonts w:ascii="Cambria Math" w:hAnsi="Cambria Math" w:eastAsia="Calibri" w:cs="Times New Roman"/>
                    <w:sz w:val="28"/>
                    <w:szCs w:val="28"/>
                  </w:rPr>
                  <m:t>=</m:t>
                </m:r>
                <m:sSub>
                  <m:sSubPr>
                    <m:ctrlPr>
                      <w:rPr>
                        <w:rFonts w:ascii="Cambria Math" w:hAnsi="Cambria Math" w:eastAsia="Calibri" w:cs="Times New Roman"/>
                        <w:sz w:val="28"/>
                        <w:szCs w:val="28"/>
                      </w:rPr>
                    </m:ctrlPr>
                  </m:sSubPr>
                  <m:e>
                    <m:r>
                      <m:rPr>
                        <m:sty m:val="p"/>
                      </m:rPr>
                      <w:rPr>
                        <w:rFonts w:ascii="Cambria Math" w:hAnsi="Cambria Math" w:eastAsia="Calibri" w:cs="Times New Roman"/>
                        <w:sz w:val="28"/>
                        <w:szCs w:val="28"/>
                      </w:rPr>
                      <m:t>t</m:t>
                    </m:r>
                    <m:ctrlPr>
                      <w:rPr>
                        <w:rFonts w:ascii="Cambria Math" w:hAnsi="Cambria Math" w:eastAsia="Calibri" w:cs="Times New Roman"/>
                        <w:sz w:val="28"/>
                        <w:szCs w:val="28"/>
                      </w:rPr>
                    </m:ctrlPr>
                  </m:e>
                  <m:sub>
                    <m:r>
                      <m:rPr>
                        <m:sty m:val="p"/>
                      </m:rPr>
                      <w:rPr>
                        <w:rFonts w:ascii="Cambria Math" w:hAnsi="Cambria Math" w:eastAsia="Calibri" w:cs="Times New Roman"/>
                        <w:sz w:val="28"/>
                        <w:szCs w:val="28"/>
                      </w:rPr>
                      <m:t>1</m:t>
                    </m:r>
                    <m:ctrlPr>
                      <w:rPr>
                        <w:rFonts w:ascii="Cambria Math" w:hAnsi="Cambria Math" w:eastAsia="Calibri" w:cs="Times New Roman"/>
                        <w:sz w:val="28"/>
                        <w:szCs w:val="28"/>
                      </w:rPr>
                    </m:ctrlPr>
                  </m:sub>
                </m:sSub>
                <m:r>
                  <m:rPr>
                    <m:sty m:val="p"/>
                  </m:rPr>
                  <w:rPr>
                    <w:rFonts w:ascii="Cambria Math" w:hAnsi="Cambria Math" w:eastAsia="Calibri" w:cs="Times New Roman"/>
                    <w:sz w:val="28"/>
                    <w:szCs w:val="28"/>
                  </w:rPr>
                  <m:t>+</m:t>
                </m:r>
                <m:f>
                  <m:fPr>
                    <m:ctrlPr>
                      <w:rPr>
                        <w:rFonts w:ascii="Cambria Math" w:hAnsi="Cambria Math" w:eastAsia="Calibri" w:cs="Times New Roman"/>
                        <w:sz w:val="28"/>
                        <w:szCs w:val="28"/>
                      </w:rPr>
                    </m:ctrlPr>
                  </m:fPr>
                  <m:num>
                    <m:r>
                      <m:rPr>
                        <m:sty m:val="p"/>
                      </m:rPr>
                      <w:rPr>
                        <w:rFonts w:ascii="Cambria Math" w:hAnsi="Cambria Math" w:eastAsia="Calibri" w:cs="Times New Roman"/>
                        <w:sz w:val="28"/>
                        <w:szCs w:val="28"/>
                      </w:rPr>
                      <m:t>|ОЧДД</m:t>
                    </m:r>
                    <m:sSub>
                      <m:sSubPr>
                        <m:ctrlPr>
                          <w:rPr>
                            <w:rFonts w:ascii="Cambria Math" w:hAnsi="Cambria Math" w:eastAsia="Calibri" w:cs="Times New Roman"/>
                            <w:sz w:val="28"/>
                            <w:szCs w:val="28"/>
                          </w:rPr>
                        </m:ctrlPr>
                      </m:sSubPr>
                      <m:e>
                        <m:r>
                          <m:rPr>
                            <m:sty m:val="p"/>
                          </m:rPr>
                          <w:rPr>
                            <w:rFonts w:ascii="Cambria Math" w:hAnsi="Cambria Math" w:eastAsia="Calibri" w:cs="Times New Roman"/>
                            <w:sz w:val="28"/>
                            <w:szCs w:val="28"/>
                          </w:rPr>
                          <m:t>t</m:t>
                        </m:r>
                        <m:ctrlPr>
                          <w:rPr>
                            <w:rFonts w:ascii="Cambria Math" w:hAnsi="Cambria Math" w:eastAsia="Calibri" w:cs="Times New Roman"/>
                            <w:sz w:val="28"/>
                            <w:szCs w:val="28"/>
                          </w:rPr>
                        </m:ctrlPr>
                      </m:e>
                      <m:sub>
                        <m:r>
                          <m:rPr>
                            <m:sty m:val="p"/>
                          </m:rPr>
                          <w:rPr>
                            <w:rFonts w:ascii="Cambria Math" w:hAnsi="Cambria Math" w:eastAsia="Calibri" w:cs="Times New Roman"/>
                            <w:sz w:val="28"/>
                            <w:szCs w:val="28"/>
                          </w:rPr>
                          <m:t>1</m:t>
                        </m:r>
                        <m:ctrlPr>
                          <w:rPr>
                            <w:rFonts w:ascii="Cambria Math" w:hAnsi="Cambria Math" w:eastAsia="Calibri" w:cs="Times New Roman"/>
                            <w:sz w:val="28"/>
                            <w:szCs w:val="28"/>
                          </w:rPr>
                        </m:ctrlPr>
                      </m:sub>
                    </m:sSub>
                    <m:r>
                      <m:rPr>
                        <m:sty m:val="p"/>
                      </m:rPr>
                      <w:rPr>
                        <w:rFonts w:ascii="Cambria Math" w:hAnsi="Cambria Math" w:eastAsia="Calibri" w:cs="Times New Roman"/>
                        <w:sz w:val="28"/>
                        <w:szCs w:val="28"/>
                      </w:rPr>
                      <m:t>|</m:t>
                    </m:r>
                    <m:ctrlPr>
                      <w:rPr>
                        <w:rFonts w:ascii="Cambria Math" w:hAnsi="Cambria Math" w:eastAsia="Calibri" w:cs="Times New Roman"/>
                        <w:sz w:val="28"/>
                        <w:szCs w:val="28"/>
                      </w:rPr>
                    </m:ctrlPr>
                  </m:num>
                  <m:den>
                    <m:r>
                      <m:rPr>
                        <m:sty m:val="p"/>
                      </m:rPr>
                      <w:rPr>
                        <w:rFonts w:ascii="Cambria Math" w:hAnsi="Cambria Math" w:eastAsia="Calibri" w:cs="Times New Roman"/>
                        <w:sz w:val="28"/>
                        <w:szCs w:val="28"/>
                      </w:rPr>
                      <m:t>ПЧДД</m:t>
                    </m:r>
                    <m:sSub>
                      <m:sSubPr>
                        <m:ctrlPr>
                          <w:rPr>
                            <w:rFonts w:ascii="Cambria Math" w:hAnsi="Cambria Math" w:eastAsia="Calibri" w:cs="Times New Roman"/>
                            <w:sz w:val="28"/>
                            <w:szCs w:val="28"/>
                          </w:rPr>
                        </m:ctrlPr>
                      </m:sSubPr>
                      <m:e>
                        <m:r>
                          <m:rPr>
                            <m:sty m:val="p"/>
                          </m:rPr>
                          <w:rPr>
                            <w:rFonts w:ascii="Cambria Math" w:hAnsi="Cambria Math" w:eastAsia="Calibri" w:cs="Times New Roman"/>
                            <w:sz w:val="28"/>
                            <w:szCs w:val="28"/>
                          </w:rPr>
                          <m:t>t</m:t>
                        </m:r>
                        <m:ctrlPr>
                          <w:rPr>
                            <w:rFonts w:ascii="Cambria Math" w:hAnsi="Cambria Math" w:eastAsia="Calibri" w:cs="Times New Roman"/>
                            <w:sz w:val="28"/>
                            <w:szCs w:val="28"/>
                          </w:rPr>
                        </m:ctrlPr>
                      </m:e>
                      <m:sub>
                        <m:r>
                          <m:rPr>
                            <m:sty m:val="p"/>
                          </m:rPr>
                          <w:rPr>
                            <w:rFonts w:ascii="Cambria Math" w:hAnsi="Cambria Math" w:eastAsia="Calibri" w:cs="Times New Roman"/>
                            <w:sz w:val="28"/>
                            <w:szCs w:val="28"/>
                          </w:rPr>
                          <m:t>2</m:t>
                        </m:r>
                        <m:ctrlPr>
                          <w:rPr>
                            <w:rFonts w:ascii="Cambria Math" w:hAnsi="Cambria Math" w:eastAsia="Calibri" w:cs="Times New Roman"/>
                            <w:sz w:val="28"/>
                            <w:szCs w:val="28"/>
                          </w:rPr>
                        </m:ctrlPr>
                      </m:sub>
                    </m:sSub>
                    <m:r>
                      <m:rPr>
                        <m:sty m:val="p"/>
                      </m:rPr>
                      <w:rPr>
                        <w:rFonts w:ascii="Cambria Math" w:hAnsi="Cambria Math" w:eastAsia="Calibri" w:cs="Times New Roman"/>
                        <w:sz w:val="28"/>
                        <w:szCs w:val="28"/>
                      </w:rPr>
                      <m:t>+|ОЧДД</m:t>
                    </m:r>
                    <m:sSub>
                      <m:sSubPr>
                        <m:ctrlPr>
                          <w:rPr>
                            <w:rFonts w:ascii="Cambria Math" w:hAnsi="Cambria Math" w:eastAsia="Calibri" w:cs="Times New Roman"/>
                            <w:sz w:val="28"/>
                            <w:szCs w:val="28"/>
                          </w:rPr>
                        </m:ctrlPr>
                      </m:sSubPr>
                      <m:e>
                        <m:r>
                          <m:rPr>
                            <m:sty m:val="p"/>
                          </m:rPr>
                          <w:rPr>
                            <w:rFonts w:ascii="Cambria Math" w:hAnsi="Cambria Math" w:eastAsia="Calibri" w:cs="Times New Roman"/>
                            <w:sz w:val="28"/>
                            <w:szCs w:val="28"/>
                          </w:rPr>
                          <m:t>t</m:t>
                        </m:r>
                        <m:ctrlPr>
                          <w:rPr>
                            <w:rFonts w:ascii="Cambria Math" w:hAnsi="Cambria Math" w:eastAsia="Calibri" w:cs="Times New Roman"/>
                            <w:sz w:val="28"/>
                            <w:szCs w:val="28"/>
                          </w:rPr>
                        </m:ctrlPr>
                      </m:e>
                      <m:sub>
                        <m:r>
                          <m:rPr>
                            <m:sty m:val="p"/>
                          </m:rPr>
                          <w:rPr>
                            <w:rFonts w:ascii="Cambria Math" w:hAnsi="Cambria Math" w:eastAsia="Calibri" w:cs="Times New Roman"/>
                            <w:sz w:val="28"/>
                            <w:szCs w:val="28"/>
                          </w:rPr>
                          <m:t>1</m:t>
                        </m:r>
                        <m:ctrlPr>
                          <w:rPr>
                            <w:rFonts w:ascii="Cambria Math" w:hAnsi="Cambria Math" w:eastAsia="Calibri" w:cs="Times New Roman"/>
                            <w:sz w:val="28"/>
                            <w:szCs w:val="28"/>
                          </w:rPr>
                        </m:ctrlPr>
                      </m:sub>
                    </m:sSub>
                    <m:r>
                      <m:rPr>
                        <m:sty m:val="p"/>
                      </m:rPr>
                      <w:rPr>
                        <w:rFonts w:ascii="Cambria Math" w:hAnsi="Cambria Math" w:eastAsia="Calibri" w:cs="Times New Roman"/>
                        <w:sz w:val="28"/>
                        <w:szCs w:val="28"/>
                      </w:rPr>
                      <m:t>|</m:t>
                    </m:r>
                    <m:ctrlPr>
                      <w:rPr>
                        <w:rFonts w:ascii="Cambria Math" w:hAnsi="Cambria Math" w:eastAsia="Calibri" w:cs="Times New Roman"/>
                        <w:sz w:val="28"/>
                        <w:szCs w:val="28"/>
                      </w:rPr>
                    </m:ctrlPr>
                  </m:den>
                </m:f>
              </m:oMath>
            </m:oMathPara>
          </w:p>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lang w:eastAsia="ru-RU"/>
              </w:rPr>
              <w:t xml:space="preserve">Где </w:t>
            </w:r>
            <m:oMath>
              <m:sSub>
                <m:sSubPr>
                  <m:ctrlPr>
                    <w:rPr>
                      <w:rFonts w:ascii="Cambria Math" w:hAnsi="Cambria Math" w:eastAsia="Calibri" w:cs="Times New Roman"/>
                      <w:sz w:val="28"/>
                      <w:szCs w:val="28"/>
                    </w:rPr>
                  </m:ctrlPr>
                </m:sSubPr>
                <m:e>
                  <m:r>
                    <m:rPr>
                      <m:sty m:val="p"/>
                    </m:rPr>
                    <w:rPr>
                      <w:rFonts w:ascii="Cambria Math" w:hAnsi="Cambria Math" w:eastAsia="Calibri" w:cs="Times New Roman"/>
                      <w:sz w:val="28"/>
                      <w:szCs w:val="28"/>
                    </w:rPr>
                    <m:t>t</m:t>
                  </m:r>
                  <m:ctrlPr>
                    <w:rPr>
                      <w:rFonts w:ascii="Cambria Math" w:hAnsi="Cambria Math" w:eastAsia="Calibri" w:cs="Times New Roman"/>
                      <w:sz w:val="28"/>
                      <w:szCs w:val="28"/>
                    </w:rPr>
                  </m:ctrlPr>
                </m:e>
                <m:sub>
                  <m:r>
                    <m:rPr>
                      <m:sty m:val="p"/>
                    </m:rPr>
                    <w:rPr>
                      <w:rFonts w:ascii="Cambria Math" w:hAnsi="Cambria Math" w:eastAsia="Calibri" w:cs="Times New Roman"/>
                      <w:sz w:val="28"/>
                      <w:szCs w:val="28"/>
                    </w:rPr>
                    <m:t>1</m:t>
                  </m:r>
                  <m:ctrlPr>
                    <w:rPr>
                      <w:rFonts w:ascii="Cambria Math" w:hAnsi="Cambria Math" w:eastAsia="Calibri" w:cs="Times New Roman"/>
                      <w:sz w:val="28"/>
                      <w:szCs w:val="28"/>
                    </w:rPr>
                  </m:ctrlPr>
                </m:sub>
              </m:sSub>
              <m:r>
                <w:rPr>
                  <w:rFonts w:ascii="Cambria Math" w:hAnsi="Cambria Math" w:eastAsia="Calibri" w:cs="Times New Roman"/>
                  <w:sz w:val="28"/>
                  <w:szCs w:val="28"/>
                </w:rPr>
                <m:t xml:space="preserve"> </m:t>
              </m:r>
            </m:oMath>
            <w:r>
              <w:rPr>
                <w:rFonts w:ascii="Times New Roman" w:hAnsi="Times New Roman" w:eastAsia="Times New Roman" w:cs="Times New Roman"/>
                <w:sz w:val="28"/>
                <w:szCs w:val="28"/>
              </w:rPr>
              <w:t xml:space="preserve"> - последний год с отрицательной прибылью, лет.</w:t>
            </w:r>
          </w:p>
          <w:p>
            <w:pPr>
              <w:spacing w:after="0" w:line="360" w:lineRule="auto"/>
              <w:rPr>
                <w:rFonts w:ascii="Times New Roman" w:hAnsi="Times New Roman" w:eastAsia="Times New Roman" w:cs="Times New Roman"/>
                <w:sz w:val="28"/>
                <w:szCs w:val="28"/>
              </w:rPr>
            </w:pPr>
            <m:oMath>
              <m:d>
                <m:dPr>
                  <m:begChr m:val="|"/>
                  <m:endChr m:val="|"/>
                  <m:ctrlPr>
                    <w:rPr>
                      <w:rFonts w:ascii="Cambria Math" w:hAnsi="Cambria Math" w:eastAsia="Calibri" w:cs="Times New Roman"/>
                      <w:sz w:val="28"/>
                      <w:szCs w:val="28"/>
                    </w:rPr>
                  </m:ctrlPr>
                </m:dPr>
                <m:e>
                  <m:r>
                    <m:rPr>
                      <m:sty m:val="p"/>
                    </m:rPr>
                    <w:rPr>
                      <w:rFonts w:ascii="Cambria Math" w:hAnsi="Cambria Math" w:eastAsia="Calibri" w:cs="Times New Roman"/>
                      <w:sz w:val="28"/>
                      <w:szCs w:val="28"/>
                    </w:rPr>
                    <m:t>ОЧДД</m:t>
                  </m:r>
                  <m:sSub>
                    <m:sSubPr>
                      <m:ctrlPr>
                        <w:rPr>
                          <w:rFonts w:ascii="Cambria Math" w:hAnsi="Cambria Math" w:eastAsia="Calibri" w:cs="Times New Roman"/>
                          <w:sz w:val="28"/>
                          <w:szCs w:val="28"/>
                        </w:rPr>
                      </m:ctrlPr>
                    </m:sSubPr>
                    <m:e>
                      <m:r>
                        <m:rPr>
                          <m:sty m:val="p"/>
                        </m:rPr>
                        <w:rPr>
                          <w:rFonts w:ascii="Cambria Math" w:hAnsi="Cambria Math" w:eastAsia="Calibri" w:cs="Times New Roman"/>
                          <w:sz w:val="28"/>
                          <w:szCs w:val="28"/>
                        </w:rPr>
                        <m:t>t</m:t>
                      </m:r>
                      <m:ctrlPr>
                        <w:rPr>
                          <w:rFonts w:ascii="Cambria Math" w:hAnsi="Cambria Math" w:eastAsia="Calibri" w:cs="Times New Roman"/>
                          <w:sz w:val="28"/>
                          <w:szCs w:val="28"/>
                        </w:rPr>
                      </m:ctrlPr>
                    </m:e>
                    <m:sub>
                      <m:r>
                        <m:rPr>
                          <m:sty m:val="p"/>
                        </m:rPr>
                        <w:rPr>
                          <w:rFonts w:ascii="Cambria Math" w:hAnsi="Cambria Math" w:eastAsia="Calibri" w:cs="Times New Roman"/>
                          <w:sz w:val="28"/>
                          <w:szCs w:val="28"/>
                        </w:rPr>
                        <m:t>1</m:t>
                      </m:r>
                      <m:ctrlPr>
                        <w:rPr>
                          <w:rFonts w:ascii="Cambria Math" w:hAnsi="Cambria Math" w:eastAsia="Calibri" w:cs="Times New Roman"/>
                          <w:sz w:val="28"/>
                          <w:szCs w:val="28"/>
                        </w:rPr>
                      </m:ctrlPr>
                    </m:sub>
                  </m:sSub>
                  <m:ctrlPr>
                    <w:rPr>
                      <w:rFonts w:ascii="Cambria Math" w:hAnsi="Cambria Math" w:eastAsia="Calibri" w:cs="Times New Roman"/>
                      <w:sz w:val="28"/>
                      <w:szCs w:val="28"/>
                    </w:rPr>
                  </m:ctrlPr>
                </m:e>
              </m:d>
            </m:oMath>
            <w:r>
              <w:rPr>
                <w:rFonts w:ascii="Times New Roman" w:hAnsi="Times New Roman" w:eastAsia="Times New Roman" w:cs="Times New Roman"/>
                <w:sz w:val="28"/>
                <w:szCs w:val="28"/>
              </w:rPr>
              <w:t xml:space="preserve"> – сумма отрицательной прибыли (в последний год с отрицательной прибылью), руб.</w:t>
            </w:r>
          </w:p>
          <w:p>
            <w:pPr>
              <w:spacing w:after="0" w:line="360" w:lineRule="auto"/>
              <w:rPr>
                <w:rFonts w:ascii="Times New Roman" w:hAnsi="Times New Roman" w:eastAsia="Times New Roman" w:cs="Times New Roman"/>
                <w:sz w:val="28"/>
                <w:szCs w:val="28"/>
              </w:rPr>
            </w:pPr>
            <m:oMath>
              <m:r>
                <m:rPr>
                  <m:sty m:val="p"/>
                </m:rPr>
                <w:rPr>
                  <w:rFonts w:ascii="Cambria Math" w:hAnsi="Cambria Math" w:eastAsia="Calibri" w:cs="Times New Roman"/>
                  <w:sz w:val="28"/>
                  <w:szCs w:val="28"/>
                </w:rPr>
                <m:t>ПЧДД</m:t>
              </m:r>
              <m:sSub>
                <m:sSubPr>
                  <m:ctrlPr>
                    <w:rPr>
                      <w:rFonts w:ascii="Cambria Math" w:hAnsi="Cambria Math" w:eastAsia="Calibri" w:cs="Times New Roman"/>
                      <w:sz w:val="28"/>
                      <w:szCs w:val="28"/>
                    </w:rPr>
                  </m:ctrlPr>
                </m:sSubPr>
                <m:e>
                  <m:r>
                    <m:rPr>
                      <m:sty m:val="p"/>
                    </m:rPr>
                    <w:rPr>
                      <w:rFonts w:ascii="Cambria Math" w:hAnsi="Cambria Math" w:eastAsia="Calibri" w:cs="Times New Roman"/>
                      <w:sz w:val="28"/>
                      <w:szCs w:val="28"/>
                    </w:rPr>
                    <m:t>t</m:t>
                  </m:r>
                  <m:ctrlPr>
                    <w:rPr>
                      <w:rFonts w:ascii="Cambria Math" w:hAnsi="Cambria Math" w:eastAsia="Calibri" w:cs="Times New Roman"/>
                      <w:sz w:val="28"/>
                      <w:szCs w:val="28"/>
                    </w:rPr>
                  </m:ctrlPr>
                </m:e>
                <m:sub>
                  <m:r>
                    <m:rPr>
                      <m:sty m:val="p"/>
                    </m:rPr>
                    <w:rPr>
                      <w:rFonts w:ascii="Cambria Math" w:hAnsi="Cambria Math" w:eastAsia="Calibri" w:cs="Times New Roman"/>
                      <w:sz w:val="28"/>
                      <w:szCs w:val="28"/>
                    </w:rPr>
                    <m:t>2</m:t>
                  </m:r>
                  <m:ctrlPr>
                    <w:rPr>
                      <w:rFonts w:ascii="Cambria Math" w:hAnsi="Cambria Math" w:eastAsia="Calibri" w:cs="Times New Roman"/>
                      <w:sz w:val="28"/>
                      <w:szCs w:val="28"/>
                    </w:rPr>
                  </m:ctrlPr>
                </m:sub>
              </m:sSub>
            </m:oMath>
            <w:r>
              <w:rPr>
                <w:rFonts w:ascii="Times New Roman" w:hAnsi="Times New Roman" w:eastAsia="Times New Roman" w:cs="Times New Roman"/>
                <w:sz w:val="28"/>
                <w:szCs w:val="28"/>
              </w:rPr>
              <w:t xml:space="preserve"> – сумма прибыли (в первый год с положительной прибылью), руб.</w:t>
            </w:r>
          </w:p>
          <w:p>
            <w:pPr>
              <w:spacing w:after="0" w:line="360" w:lineRule="auto"/>
              <w:rPr>
                <w:rFonts w:ascii="Times New Roman" w:hAnsi="Times New Roman" w:eastAsia="Times New Roman" w:cs="Times New Roman"/>
                <w:color w:val="000000"/>
                <w:sz w:val="28"/>
                <w:szCs w:val="28"/>
                <w:lang w:eastAsia="ru-RU"/>
              </w:rPr>
            </w:pPr>
          </w:p>
        </w:tc>
      </w:tr>
    </w:tbl>
    <w:p>
      <w:pPr>
        <w:spacing w:after="0" w:line="360" w:lineRule="auto"/>
        <w:contextualSpacing/>
        <w:jc w:val="both"/>
        <w:rPr>
          <w:rFonts w:ascii="Times New Roman" w:hAnsi="Times New Roman" w:eastAsia="Times New Roman" w:cs="Times New Roman"/>
          <w:color w:val="222222"/>
          <w:sz w:val="28"/>
          <w:szCs w:val="28"/>
          <w:lang w:eastAsia="ru-RU"/>
        </w:rPr>
        <w:sectPr>
          <w:pgSz w:w="16838" w:h="11906" w:orient="landscape"/>
          <w:pgMar w:top="1701" w:right="1134" w:bottom="851" w:left="1134" w:header="709" w:footer="709" w:gutter="0"/>
          <w:cols w:space="708" w:num="1"/>
          <w:docGrid w:linePitch="360" w:charSpace="0"/>
        </w:sectPr>
      </w:pPr>
    </w:p>
    <w:p>
      <w:pPr>
        <w:keepNext/>
        <w:keepLines/>
        <w:spacing w:after="0" w:line="360" w:lineRule="auto"/>
        <w:jc w:val="center"/>
        <w:outlineLvl w:val="1"/>
        <w:rPr>
          <w:rFonts w:ascii="Times New Roman" w:hAnsi="Times New Roman" w:eastAsia="Times New Roman" w:cs="Times New Roman"/>
          <w:b/>
          <w:sz w:val="28"/>
          <w:szCs w:val="28"/>
          <w:lang w:eastAsia="ru-RU"/>
        </w:rPr>
      </w:pPr>
    </w:p>
    <w:p>
      <w:pPr>
        <w:tabs>
          <w:tab w:val="left" w:pos="567"/>
          <w:tab w:val="left" w:pos="8789"/>
        </w:tabs>
        <w:spacing w:after="0" w:line="360" w:lineRule="auto"/>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222222"/>
          <w:sz w:val="28"/>
          <w:szCs w:val="28"/>
          <w:lang w:eastAsia="ru-RU"/>
        </w:rPr>
        <w:t xml:space="preserve">         Такой показатель, как оборот вагона не утратит своей актуальности до тех пор, пока будут существовать железнодорожные перевозки. Любой оператор планирует свою работу, величина которой напрямую зависит от оборота вагона. Если у оператора есть выбор груза, то с учетом оборота вагонов он подберет его так, чтобы получить максимальный финансовый выигрыш. А для этого необходимо знать и контролировать оборот своего вагона.</w:t>
      </w:r>
    </w:p>
    <w:p>
      <w:pPr>
        <w:tabs>
          <w:tab w:val="left" w:pos="567"/>
          <w:tab w:val="left" w:pos="8789"/>
        </w:tabs>
        <w:spacing w:after="0" w:line="360" w:lineRule="auto"/>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222222"/>
          <w:sz w:val="28"/>
          <w:szCs w:val="28"/>
          <w:lang w:eastAsia="ru-RU"/>
        </w:rPr>
        <w:t xml:space="preserve">В условиях ограниченности пропускных и перерабатывающих способностей инфраструктуры дальнейший рост приватного вагонного парка делает недостижимым эффективное использование вагонов и ведет к ухудшению показателей работы. Сокращение издержек возможно путём применения современных логистических схем, а для анализа эффективности их применения нужен новый подход оценки качества использования инфраструктуры и подвижного состава, в том числе через качественные и количественные показатели. </w:t>
      </w:r>
    </w:p>
    <w:p>
      <w:pPr>
        <w:tabs>
          <w:tab w:val="left" w:pos="567"/>
          <w:tab w:val="left" w:pos="8789"/>
        </w:tabs>
        <w:spacing w:after="0" w:line="360" w:lineRule="auto"/>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333333"/>
          <w:sz w:val="28"/>
          <w:szCs w:val="28"/>
          <w:lang w:eastAsia="ru-RU"/>
        </w:rPr>
        <w:t>Ликвидировать экономические потери компании, связанные с ростом маневровой работы, увеличением времени переработки на сортировочных станциях, дополнительным содержанием локомотивов и бригад позволит применение логистических схем перемещения порожних вагонов. Финансовая ответственность операторов за простой вагона, наделение перевозчика правом перемещения невостребованных вагонов на станции их отстоя, совершенствование нормативно-правовой базы и системы тарифов  - это только часть мероприятий для повышения эффективности перевозочного процесса в рамках транспортного рынка. В феврале 2014 года в компании ОАО «РЖД» были разработаны и утверждены типовые формы договорной документации на оказание услуг по оптимизации логистических схем перевозки, в результате чего созданы условия для привлечения грузовых вагонов в консолидированный парк под управлением перевозчика [10]. В новой модели коммерческая работа с грузовладельцами и регулирование ценообразования на услуги по предоставлению вагонов осуществляется непосредственно операторами, а управление порожним подвижным составом  ОАО «РЖД» на основе принципов балансового метода. Эта технология позволяет максимально эффективно использовать подвижной состав с учетом минимизации порожнего пробега.</w:t>
      </w:r>
      <w:r>
        <w:rPr>
          <w:rFonts w:ascii="Times New Roman" w:hAnsi="Times New Roman" w:eastAsia="Times New Roman" w:cs="Times New Roman"/>
          <w:color w:val="222222"/>
          <w:sz w:val="28"/>
          <w:szCs w:val="28"/>
          <w:lang w:eastAsia="ru-RU"/>
        </w:rPr>
        <w:t xml:space="preserve">            </w:t>
      </w:r>
    </w:p>
    <w:p>
      <w:pPr>
        <w:tabs>
          <w:tab w:val="left" w:pos="567"/>
          <w:tab w:val="left" w:pos="8789"/>
        </w:tabs>
        <w:spacing w:after="0" w:line="360" w:lineRule="auto"/>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222222"/>
          <w:sz w:val="28"/>
          <w:szCs w:val="28"/>
          <w:lang w:eastAsia="ru-RU"/>
        </w:rPr>
        <w:t xml:space="preserve">Сегодня целевой задачей ОАО «РЖД» является повышение качества основной деятельности в части снижения издержек  и минимизации порожнего пробега вагонов грузовых компаний-операторов, в том числе для более эффективного использования железнодорожной инфраструктуры. Необходимость в  объективной оценке мероприятий, направленных на решение этих задач возрастает и невозможно без выработки универсального и сбалансированного подхода к показателям эффективности работы всех участников перевозочного процесса. </w:t>
      </w:r>
    </w:p>
    <w:p>
      <w:pPr>
        <w:spacing w:after="0"/>
        <w:jc w:val="center"/>
        <w:rPr>
          <w:rFonts w:ascii="Times New Roman" w:hAnsi="Times New Roman" w:cs="Times New Roman"/>
          <w:b/>
          <w:sz w:val="28"/>
          <w:szCs w:val="28"/>
        </w:rPr>
      </w:pPr>
      <w:bookmarkStart w:id="7" w:name="_Toc536745510"/>
      <w:r>
        <w:rPr>
          <w:rFonts w:ascii="Times New Roman" w:hAnsi="Times New Roman" w:cs="Times New Roman"/>
          <w:b/>
          <w:sz w:val="28"/>
          <w:szCs w:val="28"/>
        </w:rPr>
        <w:t>Библиографический список</w:t>
      </w:r>
      <w:bookmarkEnd w:id="7"/>
    </w:p>
    <w:p>
      <w:pPr>
        <w:tabs>
          <w:tab w:val="left" w:pos="993"/>
          <w:tab w:val="left" w:pos="8789"/>
        </w:tabs>
        <w:spacing w:after="0" w:line="36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Об утверждении порядка мониторинга обеспечения железнодорожным подвижным составом грузовладельцев и использования железнодорожного подвижного состава участниками перевозочного процесса и методики оценки эффективности использования железнодорожного подвижного состава: -     приказ от 5 мая 2012 г N 136 – М: Министерства транспорта РФ, 2012.</w:t>
      </w:r>
    </w:p>
    <w:p>
      <w:pPr>
        <w:tabs>
          <w:tab w:val="left" w:pos="993"/>
          <w:tab w:val="left" w:pos="8789"/>
        </w:tabs>
        <w:spacing w:after="0" w:line="36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В. А. Кудрявцев Техническое нормирование эксплуатационной работы в новых условиях  / В. А. Кудрявцев // Железнодорожный транспорт: - 2004. - №2. - С. 59-64 . </w:t>
      </w:r>
    </w:p>
    <w:p>
      <w:pPr>
        <w:autoSpaceDE w:val="0"/>
        <w:autoSpaceDN w:val="0"/>
        <w:adjustRightInd w:val="0"/>
        <w:spacing w:after="0" w:line="360" w:lineRule="auto"/>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 Сайт ОАО «РЖД» - </w:t>
      </w:r>
      <w:r>
        <w:rPr>
          <w:rFonts w:ascii="Times New Roman" w:hAnsi="Times New Roman" w:eastAsia="Times New Roman" w:cs="Times New Roman"/>
          <w:sz w:val="28"/>
          <w:szCs w:val="28"/>
          <w:lang w:val="en-US" w:eastAsia="ru-RU"/>
        </w:rPr>
        <w:t>URL</w:t>
      </w:r>
      <w:r>
        <w:rPr>
          <w:rFonts w:ascii="Times New Roman" w:hAnsi="Times New Roman" w:eastAsia="Times New Roman" w:cs="Times New Roman"/>
          <w:sz w:val="28"/>
          <w:szCs w:val="28"/>
          <w:lang w:eastAsia="ru-RU"/>
        </w:rPr>
        <w:t xml:space="preserve">: </w:t>
      </w:r>
      <w:r>
        <w:fldChar w:fldCharType="begin"/>
      </w:r>
      <w:r>
        <w:instrText xml:space="preserve"> HYPERLINK "http://www.rzd.ru/static/public/ru?STRUCTURE" </w:instrText>
      </w:r>
      <w:r>
        <w:fldChar w:fldCharType="separate"/>
      </w:r>
      <w:r>
        <w:rPr>
          <w:rFonts w:ascii="Times New Roman" w:hAnsi="Times New Roman" w:eastAsia="Times New Roman" w:cs="Times New Roman"/>
          <w:sz w:val="28"/>
          <w:szCs w:val="28"/>
          <w:u w:val="single"/>
          <w:lang w:eastAsia="ru-RU"/>
        </w:rPr>
        <w:t>http://www.rzd.ru/static/public/ru?</w:t>
      </w:r>
      <w:r>
        <w:rPr>
          <w:rFonts w:ascii="Times New Roman" w:hAnsi="Times New Roman" w:eastAsia="Times New Roman" w:cs="Times New Roman"/>
          <w:sz w:val="28"/>
          <w:szCs w:val="28"/>
          <w:u w:val="single"/>
          <w:lang w:val="en-US" w:eastAsia="ru-RU"/>
        </w:rPr>
        <w:t>STRUCTURE</w:t>
      </w:r>
      <w:r>
        <w:rPr>
          <w:rFonts w:ascii="Times New Roman" w:hAnsi="Times New Roman" w:eastAsia="Times New Roman" w:cs="Times New Roman"/>
          <w:sz w:val="28"/>
          <w:szCs w:val="28"/>
          <w:u w:val="single"/>
          <w:lang w:val="en-US" w:eastAsia="ru-RU"/>
        </w:rPr>
        <w:fldChar w:fldCharType="end"/>
      </w:r>
      <w:r>
        <w:rPr>
          <w:rFonts w:ascii="Times New Roman" w:hAnsi="Times New Roman" w:eastAsia="Times New Roman" w:cs="Times New Roman"/>
          <w:sz w:val="28"/>
          <w:szCs w:val="28"/>
          <w:lang w:val="en-US" w:eastAsia="ru-RU"/>
        </w:rPr>
        <w:t>ID</w:t>
      </w:r>
      <w:r>
        <w:rPr>
          <w:rFonts w:ascii="Times New Roman" w:hAnsi="Times New Roman" w:eastAsia="Times New Roman" w:cs="Times New Roman"/>
          <w:sz w:val="28"/>
          <w:szCs w:val="28"/>
          <w:lang w:eastAsia="ru-RU"/>
        </w:rPr>
        <w:t>=5232&amp;</w:t>
      </w:r>
      <w:r>
        <w:rPr>
          <w:rFonts w:ascii="Times New Roman" w:hAnsi="Times New Roman" w:eastAsia="Times New Roman" w:cs="Times New Roman"/>
          <w:sz w:val="28"/>
          <w:szCs w:val="28"/>
          <w:lang w:val="en-US" w:eastAsia="ru-RU"/>
        </w:rPr>
        <w:t>layer</w:t>
      </w:r>
      <w:r>
        <w:rPr>
          <w:rFonts w:ascii="Times New Roman" w:hAnsi="Times New Roman" w:eastAsia="Times New Roman" w:cs="Times New Roman"/>
          <w:sz w:val="28"/>
          <w:szCs w:val="28"/>
          <w:lang w:eastAsia="ru-RU"/>
        </w:rPr>
        <w:t>_</w:t>
      </w:r>
      <w:r>
        <w:rPr>
          <w:rFonts w:ascii="Times New Roman" w:hAnsi="Times New Roman" w:eastAsia="Times New Roman" w:cs="Times New Roman"/>
          <w:sz w:val="28"/>
          <w:szCs w:val="28"/>
          <w:lang w:val="en-US" w:eastAsia="ru-RU"/>
        </w:rPr>
        <w:t>id</w:t>
      </w:r>
      <w:r>
        <w:rPr>
          <w:rFonts w:ascii="Times New Roman" w:hAnsi="Times New Roman" w:eastAsia="Times New Roman" w:cs="Times New Roman"/>
          <w:sz w:val="28"/>
          <w:szCs w:val="28"/>
          <w:lang w:eastAsia="ru-RU"/>
        </w:rPr>
        <w:t>=3290&amp;</w:t>
      </w:r>
      <w:r>
        <w:rPr>
          <w:rFonts w:ascii="Times New Roman" w:hAnsi="Times New Roman" w:eastAsia="Times New Roman" w:cs="Times New Roman"/>
          <w:sz w:val="28"/>
          <w:szCs w:val="28"/>
          <w:lang w:val="en-US" w:eastAsia="ru-RU"/>
        </w:rPr>
        <w:t>id</w:t>
      </w:r>
      <w:r>
        <w:rPr>
          <w:rFonts w:ascii="Times New Roman" w:hAnsi="Times New Roman" w:eastAsia="Times New Roman" w:cs="Times New Roman"/>
          <w:sz w:val="28"/>
          <w:szCs w:val="28"/>
          <w:lang w:eastAsia="ru-RU"/>
        </w:rPr>
        <w:t>=4094 (дата обращения: 10.10.2019г)</w:t>
      </w:r>
    </w:p>
    <w:p>
      <w:pPr>
        <w:tabs>
          <w:tab w:val="left" w:pos="993"/>
          <w:tab w:val="left" w:pos="8789"/>
        </w:tabs>
        <w:spacing w:after="0" w:line="360" w:lineRule="auto"/>
        <w:contextualSpacing/>
        <w:jc w:val="both"/>
        <w:rPr>
          <w:rFonts w:ascii="Times New Roman" w:hAnsi="Times New Roman" w:eastAsia="Calibri" w:cs="Times New Roman"/>
          <w:b/>
          <w:sz w:val="28"/>
          <w:szCs w:val="28"/>
          <w:shd w:val="clear" w:color="auto" w:fill="FFFFFF"/>
        </w:rPr>
      </w:pPr>
      <w:r>
        <w:rPr>
          <w:rFonts w:ascii="Times New Roman" w:hAnsi="Times New Roman" w:eastAsia="Times New Roman" w:cs="Times New Roman"/>
          <w:sz w:val="28"/>
          <w:szCs w:val="28"/>
          <w:lang w:eastAsia="ru-RU"/>
        </w:rPr>
        <w:t xml:space="preserve">       4. </w:t>
      </w:r>
      <w:r>
        <w:rPr>
          <w:rFonts w:ascii="Times New Roman" w:hAnsi="Times New Roman" w:eastAsia="Calibri" w:cs="Times New Roman"/>
          <w:sz w:val="28"/>
          <w:szCs w:val="28"/>
          <w:shd w:val="clear" w:color="auto" w:fill="FFFFFF"/>
        </w:rPr>
        <w:t xml:space="preserve">А. А. Бочарова </w:t>
      </w:r>
      <w:r>
        <w:rPr>
          <w:rFonts w:ascii="Times New Roman" w:hAnsi="Times New Roman" w:eastAsia="Times New Roman" w:cs="Times New Roman"/>
          <w:sz w:val="28"/>
          <w:szCs w:val="28"/>
          <w:lang w:eastAsia="ru-RU"/>
        </w:rPr>
        <w:t>Исследование эффективности использования приватного подвижного состава транспортной компанией: диссертация на соискание учен. степени канд. экон. наук), 08.00.05/</w:t>
      </w:r>
      <w:r>
        <w:rPr>
          <w:rFonts w:ascii="Times New Roman" w:hAnsi="Times New Roman" w:eastAsia="Calibri" w:cs="Times New Roman"/>
          <w:sz w:val="28"/>
          <w:szCs w:val="28"/>
          <w:shd w:val="clear" w:color="auto" w:fill="FFFFFF"/>
        </w:rPr>
        <w:t xml:space="preserve"> А. А. Бочарова -</w:t>
      </w:r>
      <w:r>
        <w:rPr>
          <w:rFonts w:ascii="Times New Roman" w:hAnsi="Times New Roman" w:eastAsia="Times New Roman" w:cs="Times New Roman"/>
          <w:sz w:val="28"/>
          <w:szCs w:val="28"/>
          <w:lang w:eastAsia="ru-RU"/>
        </w:rPr>
        <w:t xml:space="preserve"> М, МИИТ, 2012 г – 138 с. </w:t>
      </w:r>
    </w:p>
    <w:p>
      <w:pPr>
        <w:tabs>
          <w:tab w:val="left" w:pos="993"/>
          <w:tab w:val="left" w:pos="1276"/>
          <w:tab w:val="left" w:pos="8789"/>
        </w:tabs>
        <w:spacing w:after="0" w:line="36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5. </w:t>
      </w:r>
      <w:r>
        <w:rPr>
          <w:rFonts w:ascii="Times New Roman" w:hAnsi="Times New Roman" w:eastAsia="Times New Roman" w:cs="Times New Roman"/>
          <w:sz w:val="28"/>
          <w:szCs w:val="28"/>
          <w:lang w:eastAsia="ru-RU"/>
        </w:rPr>
        <w:t>О. П.</w:t>
      </w:r>
      <w:r>
        <w:rPr>
          <w:rFonts w:ascii="Times New Roman" w:hAnsi="Times New Roman" w:eastAsia="Calibri" w:cs="Times New Roman"/>
          <w:sz w:val="28"/>
          <w:szCs w:val="28"/>
        </w:rPr>
        <w:t xml:space="preserve"> </w:t>
      </w:r>
      <w:r>
        <w:rPr>
          <w:rFonts w:ascii="Times New Roman" w:hAnsi="Times New Roman" w:eastAsia="Times New Roman" w:cs="Times New Roman"/>
          <w:sz w:val="28"/>
          <w:szCs w:val="28"/>
          <w:lang w:eastAsia="ru-RU"/>
        </w:rPr>
        <w:t xml:space="preserve">Югрина, С. Ю. Соснин   </w:t>
      </w:r>
      <w:r>
        <w:rPr>
          <w:rFonts w:ascii="Times New Roman" w:hAnsi="Times New Roman" w:eastAsia="Calibri" w:cs="Times New Roman"/>
          <w:sz w:val="28"/>
          <w:szCs w:val="28"/>
        </w:rPr>
        <w:t xml:space="preserve">Вестник Уральского государственного ун-та путей сообщения. – 2017 - № 1 (33), </w:t>
      </w:r>
      <w:r>
        <w:rPr>
          <w:rFonts w:ascii="Times New Roman" w:hAnsi="Times New Roman" w:eastAsia="Times New Roman" w:cs="Times New Roman"/>
          <w:sz w:val="28"/>
          <w:szCs w:val="28"/>
          <w:lang w:eastAsia="ru-RU"/>
        </w:rPr>
        <w:t xml:space="preserve">с. 88-89. </w:t>
      </w:r>
    </w:p>
    <w:p>
      <w:pPr>
        <w:tabs>
          <w:tab w:val="left" w:pos="284"/>
          <w:tab w:val="left" w:pos="993"/>
          <w:tab w:val="left" w:pos="8789"/>
        </w:tabs>
        <w:spacing w:after="0" w:line="36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 Ф. И. Хусаинов Вестник транспорта Поволжья – 2011.- № 1 (25) –Экономика, организация и планирование на транспорте, с. 9-10.</w:t>
      </w:r>
    </w:p>
    <w:p>
      <w:pPr>
        <w:tabs>
          <w:tab w:val="left" w:pos="0"/>
          <w:tab w:val="left" w:pos="993"/>
          <w:tab w:val="left" w:pos="8789"/>
        </w:tabs>
        <w:spacing w:after="0" w:line="36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 Б. М. Лапидус Экономические проблемы управления железнодорожным транспортом в России в период становления рыночных отношений, М: Изд. МГУ: 2001 - 301с. </w:t>
      </w:r>
    </w:p>
    <w:p>
      <w:pPr>
        <w:tabs>
          <w:tab w:val="left" w:pos="993"/>
          <w:tab w:val="left" w:pos="8789"/>
        </w:tabs>
        <w:spacing w:after="0" w:line="36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8. Т. А. Лунина, М. О. Северова Моделирование парка подвижного состава при изменении экономической конъюнктуры рынка//Экономика железных дорог - 2015, № 5, -  С. 340 – 345. </w:t>
      </w:r>
    </w:p>
    <w:p>
      <w:pPr>
        <w:tabs>
          <w:tab w:val="left" w:pos="993"/>
          <w:tab w:val="left" w:pos="8789"/>
        </w:tabs>
        <w:spacing w:after="0" w:line="36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9. Л. О. Аникеева-Науменко Методы повышения эффективности использования вагонов грузового парка на железнодорожном транспорте: (дис. на соискание учёной степени канд. наук/ Л. О. Аникеева-Науменко.- Москва: МИИТ, 2014 г – 190 с. </w:t>
      </w:r>
    </w:p>
    <w:p>
      <w:pPr>
        <w:tabs>
          <w:tab w:val="left" w:pos="0"/>
          <w:tab w:val="left" w:pos="993"/>
          <w:tab w:val="left" w:pos="8789"/>
        </w:tabs>
        <w:spacing w:after="0" w:line="36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10. Распоряжение ОАО «РЖД» от 27.02.2014г № 529р (ред. от 26.05.2014г.) «Об утверждении типовой формы договора на оказание услуг по оптимизации логистических схем перевозок вагонов». – М.: ОАО «РЖД», 2014г. – </w:t>
      </w:r>
      <w:r>
        <w:rPr>
          <w:rFonts w:ascii="Times New Roman" w:hAnsi="Times New Roman" w:eastAsia="Times New Roman" w:cs="Times New Roman"/>
          <w:sz w:val="28"/>
          <w:szCs w:val="28"/>
          <w:lang w:val="en-US" w:eastAsia="ru-RU"/>
        </w:rPr>
        <w:t>URL</w:t>
      </w:r>
      <w:r>
        <w:rPr>
          <w:rFonts w:ascii="Times New Roman" w:hAnsi="Times New Roman" w:eastAsia="Times New Roman" w:cs="Times New Roman"/>
          <w:sz w:val="28"/>
          <w:szCs w:val="28"/>
          <w:lang w:eastAsia="ru-RU"/>
        </w:rPr>
        <w:t>: http://www.consultant.ru/document/cons_doc.</w:t>
      </w:r>
    </w:p>
    <w:p>
      <w:pPr>
        <w:tabs>
          <w:tab w:val="left" w:pos="284"/>
          <w:tab w:val="left" w:pos="993"/>
          <w:tab w:val="left" w:pos="8789"/>
        </w:tabs>
        <w:spacing w:after="0" w:line="36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11. В. А. Кудрявцев Управление движением на железнодорожном транспорте  : учеб. пособие для вузов ж.-д. транспорта; /В. А. Кудрявцев. - М.: Маршрут, 2003. - 199 с., - (Высшее профессиональное образование). </w:t>
      </w:r>
    </w:p>
    <w:p>
      <w:pPr>
        <w:spacing w:after="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br w:type="page"/>
      </w:r>
    </w:p>
    <w:p>
      <w:pPr>
        <w:spacing w:after="0" w:line="360" w:lineRule="auto"/>
        <w:ind w:firstLine="709"/>
        <w:jc w:val="right"/>
        <w:rPr>
          <w:rFonts w:ascii="Times New Roman" w:hAnsi="Times New Roman" w:eastAsia="Calibri" w:cs="Times New Roman"/>
          <w:b/>
          <w:sz w:val="28"/>
          <w:szCs w:val="28"/>
        </w:rPr>
      </w:pPr>
      <w:r>
        <w:rPr>
          <w:rFonts w:ascii="Times New Roman" w:hAnsi="Times New Roman" w:eastAsia="Calibri" w:cs="Times New Roman"/>
          <w:b/>
          <w:sz w:val="28"/>
          <w:szCs w:val="28"/>
        </w:rPr>
        <w:t xml:space="preserve">Ю.В. Коровяковская*, Ю.А Артемьева** </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Петербургский Государственный Университет </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Путей Сообщения императора Александра </w:t>
      </w:r>
      <w:r>
        <w:rPr>
          <w:rFonts w:ascii="Times New Roman" w:hAnsi="Times New Roman" w:eastAsia="Calibri" w:cs="Times New Roman"/>
          <w:sz w:val="28"/>
          <w:szCs w:val="28"/>
          <w:lang w:val="en-US"/>
        </w:rPr>
        <w:t>I</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 Санкт-Петербург, Россия</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*к.т.н., доцент</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студент</w:t>
      </w:r>
    </w:p>
    <w:p>
      <w:pPr>
        <w:spacing w:after="0" w:line="360" w:lineRule="auto"/>
        <w:jc w:val="right"/>
        <w:rPr>
          <w:rFonts w:ascii="Times New Roman" w:hAnsi="Times New Roman" w:eastAsia="Calibri" w:cs="Times New Roman"/>
          <w:sz w:val="28"/>
          <w:szCs w:val="28"/>
        </w:rPr>
      </w:pPr>
    </w:p>
    <w:p>
      <w:pPr>
        <w:pStyle w:val="2"/>
        <w:spacing w:before="0" w:line="360" w:lineRule="auto"/>
        <w:jc w:val="center"/>
        <w:rPr>
          <w:rFonts w:ascii="Times New Roman" w:hAnsi="Times New Roman" w:eastAsia="Calibri"/>
          <w:b/>
          <w:caps/>
          <w:color w:val="auto"/>
          <w:sz w:val="28"/>
          <w:szCs w:val="28"/>
        </w:rPr>
      </w:pPr>
      <w:bookmarkStart w:id="8" w:name="_Toc37266316"/>
      <w:r>
        <w:rPr>
          <w:rFonts w:ascii="Times New Roman" w:hAnsi="Times New Roman" w:eastAsia="Calibri"/>
          <w:b/>
          <w:caps/>
          <w:color w:val="auto"/>
          <w:sz w:val="28"/>
          <w:szCs w:val="28"/>
        </w:rPr>
        <w:t>Предпосылки строительства зернового терминала в Высоцке</w:t>
      </w:r>
      <w:bookmarkEnd w:id="8"/>
    </w:p>
    <w:p>
      <w:pPr>
        <w:spacing w:after="0" w:line="360" w:lineRule="auto"/>
        <w:ind w:firstLine="709"/>
        <w:jc w:val="center"/>
        <w:rPr>
          <w:rFonts w:ascii="Times New Roman" w:hAnsi="Times New Roman" w:eastAsia="Calibri" w:cs="Times New Roman"/>
          <w:b/>
          <w:caps/>
          <w:color w:val="000000"/>
          <w:sz w:val="28"/>
        </w:rPr>
      </w:pP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b/>
          <w:color w:val="000000"/>
          <w:sz w:val="28"/>
        </w:rPr>
        <w:t xml:space="preserve">Аннотация: </w:t>
      </w:r>
      <w:r>
        <w:rPr>
          <w:rFonts w:ascii="Times New Roman" w:hAnsi="Times New Roman" w:eastAsia="Calibri" w:cs="Times New Roman"/>
          <w:color w:val="000000"/>
          <w:sz w:val="28"/>
        </w:rPr>
        <w:t>В статье рассматривается производство зерновых культур по России, в частности, в Южном федеральном округе, который является лидером по производству и перевалки зерна. Проанализированы точки перевалки зерна на экспорт, рассмотрены причины строительства нового зернового терминала в Ленинградской области в Высоцке.</w:t>
      </w: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b/>
          <w:color w:val="000000"/>
          <w:sz w:val="28"/>
        </w:rPr>
        <w:t xml:space="preserve">Ключевые слова: </w:t>
      </w:r>
      <w:r>
        <w:rPr>
          <w:rFonts w:ascii="Times New Roman" w:hAnsi="Times New Roman" w:eastAsia="Calibri" w:cs="Times New Roman"/>
          <w:color w:val="000000"/>
          <w:sz w:val="28"/>
        </w:rPr>
        <w:t>производство, экспорт, строительство, терминал, зерновые культуры</w:t>
      </w:r>
    </w:p>
    <w:p>
      <w:pPr>
        <w:spacing w:after="0" w:line="360" w:lineRule="auto"/>
        <w:ind w:firstLine="709"/>
        <w:jc w:val="both"/>
        <w:rPr>
          <w:rFonts w:ascii="Times New Roman" w:hAnsi="Times New Roman" w:eastAsia="Calibri" w:cs="Times New Roman"/>
          <w:color w:val="000000"/>
          <w:sz w:val="28"/>
        </w:rPr>
      </w:pP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color w:val="000000"/>
          <w:sz w:val="28"/>
        </w:rPr>
        <w:t xml:space="preserve">Лидерство на продовольственном рынке Европы Россия заняла в конце </w:t>
      </w:r>
      <w:r>
        <w:rPr>
          <w:rFonts w:ascii="Times New Roman" w:hAnsi="Times New Roman" w:eastAsia="Calibri" w:cs="Times New Roman"/>
          <w:color w:val="000000"/>
          <w:sz w:val="28"/>
          <w:lang w:val="en-US"/>
        </w:rPr>
        <w:t>XIX</w:t>
      </w:r>
      <w:r>
        <w:rPr>
          <w:rFonts w:ascii="Times New Roman" w:hAnsi="Times New Roman" w:eastAsia="Calibri" w:cs="Times New Roman"/>
          <w:color w:val="000000"/>
          <w:sz w:val="28"/>
        </w:rPr>
        <w:t xml:space="preserve"> века, когда доходы от продажи зерна обеспечивали половину прибыли от общей торговли страны. В начале </w:t>
      </w:r>
      <w:r>
        <w:rPr>
          <w:rFonts w:ascii="Times New Roman" w:hAnsi="Times New Roman" w:eastAsia="Calibri" w:cs="Times New Roman"/>
          <w:color w:val="000000"/>
          <w:sz w:val="28"/>
          <w:lang w:val="en-US"/>
        </w:rPr>
        <w:t>XX</w:t>
      </w:r>
      <w:r>
        <w:rPr>
          <w:rFonts w:ascii="Times New Roman" w:hAnsi="Times New Roman" w:eastAsia="Calibri" w:cs="Times New Roman"/>
          <w:color w:val="000000"/>
          <w:sz w:val="28"/>
        </w:rPr>
        <w:t xml:space="preserve"> века Россия вышла в абсолютные лидеры. То же происходит и в последние годы. Россия бьет рекорды по урожаю зерновых. В 2019 году в нашей стране было собрано 120,7 млн т – один из крупнейших показателей в истории. </w:t>
      </w:r>
    </w:p>
    <w:p>
      <w:pPr>
        <w:spacing w:after="0" w:line="360" w:lineRule="auto"/>
        <w:ind w:firstLine="709"/>
        <w:jc w:val="both"/>
        <w:rPr>
          <w:rFonts w:ascii="Times New Roman" w:hAnsi="Times New Roman" w:eastAsia="Calibri" w:cs="Times New Roman"/>
          <w:color w:val="000000"/>
          <w:sz w:val="28"/>
          <w:lang w:val="en-US"/>
        </w:rPr>
      </w:pPr>
      <w:r>
        <w:rPr>
          <w:rFonts w:ascii="Times New Roman" w:hAnsi="Times New Roman" w:eastAsia="Calibri" w:cs="Times New Roman"/>
          <w:sz w:val="28"/>
          <w:lang w:eastAsia="ru-RU"/>
        </w:rPr>
        <w:drawing>
          <wp:inline distT="0" distB="0" distL="0" distR="0">
            <wp:extent cx="4882515" cy="20320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8"/>
                    <a:srcRect l="19936" t="25154" r="40714" b="45726"/>
                    <a:stretch>
                      <a:fillRect/>
                    </a:stretch>
                  </pic:blipFill>
                  <pic:spPr>
                    <a:xfrm>
                      <a:off x="0" y="0"/>
                      <a:ext cx="4897559" cy="2038620"/>
                    </a:xfrm>
                    <a:prstGeom prst="rect">
                      <a:avLst/>
                    </a:prstGeom>
                    <a:ln>
                      <a:noFill/>
                    </a:ln>
                  </pic:spPr>
                </pic:pic>
              </a:graphicData>
            </a:graphic>
          </wp:inline>
        </w:drawing>
      </w: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color w:val="000000"/>
          <w:sz w:val="28"/>
        </w:rPr>
        <w:t>Рисунок 1. - Производства урожая в России с 2009 года по 2019 год</w:t>
      </w:r>
    </w:p>
    <w:p>
      <w:pPr>
        <w:spacing w:after="0" w:line="360" w:lineRule="auto"/>
        <w:ind w:firstLine="709"/>
        <w:jc w:val="both"/>
        <w:rPr>
          <w:rFonts w:ascii="Times New Roman" w:hAnsi="Times New Roman" w:eastAsia="Calibri" w:cs="Times New Roman"/>
          <w:color w:val="000000"/>
          <w:sz w:val="28"/>
        </w:rPr>
      </w:pP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color w:val="000000"/>
          <w:sz w:val="28"/>
        </w:rPr>
        <w:t>Россия производит зерновые культуры во всех федеральных округах страны. Самые большие производства зерновых культур в Южном федеральном округе Российской федерации.</w:t>
      </w: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sz w:val="28"/>
          <w:lang w:eastAsia="ru-RU"/>
        </w:rPr>
        <w:drawing>
          <wp:inline distT="0" distB="0" distL="0" distR="0">
            <wp:extent cx="5912485" cy="3095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9"/>
                    <a:srcRect l="32706" t="39875" r="33670" b="28827"/>
                    <a:stretch>
                      <a:fillRect/>
                    </a:stretch>
                  </pic:blipFill>
                  <pic:spPr>
                    <a:xfrm>
                      <a:off x="0" y="0"/>
                      <a:ext cx="5938002" cy="3108902"/>
                    </a:xfrm>
                    <a:prstGeom prst="rect">
                      <a:avLst/>
                    </a:prstGeom>
                    <a:ln>
                      <a:noFill/>
                    </a:ln>
                  </pic:spPr>
                </pic:pic>
              </a:graphicData>
            </a:graphic>
          </wp:inline>
        </w:drawing>
      </w:r>
    </w:p>
    <w:p>
      <w:pPr>
        <w:spacing w:after="0" w:line="360" w:lineRule="auto"/>
        <w:ind w:firstLine="709"/>
        <w:jc w:val="both"/>
        <w:rPr>
          <w:rFonts w:ascii="Times New Roman" w:hAnsi="Times New Roman" w:eastAsia="Calibri" w:cs="Times New Roman"/>
          <w:color w:val="000000"/>
          <w:sz w:val="28"/>
        </w:rPr>
      </w:pP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color w:val="000000"/>
          <w:sz w:val="28"/>
        </w:rPr>
        <w:t>Рисунок 2 - Динамика производства зерновых культур по федеральным округам России в 2015-2019 гг.</w:t>
      </w:r>
    </w:p>
    <w:p>
      <w:pPr>
        <w:spacing w:after="0" w:line="360" w:lineRule="auto"/>
        <w:ind w:firstLine="709"/>
        <w:jc w:val="both"/>
        <w:rPr>
          <w:rFonts w:ascii="Times New Roman" w:hAnsi="Times New Roman" w:eastAsia="Calibri" w:cs="Times New Roman"/>
          <w:color w:val="000000"/>
          <w:sz w:val="28"/>
        </w:rPr>
      </w:pPr>
    </w:p>
    <w:p>
      <w:pPr>
        <w:spacing w:after="0" w:line="360" w:lineRule="auto"/>
        <w:ind w:firstLine="709"/>
        <w:jc w:val="both"/>
        <w:rPr>
          <w:rFonts w:ascii="Times New Roman" w:hAnsi="Times New Roman" w:eastAsia="Calibri" w:cs="Times New Roman"/>
          <w:color w:val="000000"/>
          <w:sz w:val="28"/>
          <w:shd w:val="clear" w:color="auto" w:fill="FFFFFF"/>
        </w:rPr>
      </w:pPr>
      <w:r>
        <w:rPr>
          <w:rFonts w:ascii="Times New Roman" w:hAnsi="Times New Roman" w:eastAsia="Calibri" w:cs="Times New Roman"/>
          <w:color w:val="222222"/>
          <w:sz w:val="28"/>
          <w:szCs w:val="20"/>
        </w:rPr>
        <w:t xml:space="preserve">Действительно, Южный федеральный округ владеет большим количеством инфраструктуры, требующейся для хранения, перевалки и транспортировки зерна, такие как: </w:t>
      </w:r>
      <w:r>
        <w:rPr>
          <w:rFonts w:ascii="Times New Roman" w:hAnsi="Times New Roman" w:eastAsia="Calibri" w:cs="Times New Roman"/>
          <w:color w:val="000000"/>
          <w:sz w:val="28"/>
          <w:szCs w:val="28"/>
          <w:shd w:val="clear" w:color="auto" w:fill="FFFFFF"/>
        </w:rPr>
        <w:t>«Новороссийский зерновой терминал»,</w:t>
      </w:r>
      <w:r>
        <w:rPr>
          <w:rFonts w:ascii="Times New Roman" w:hAnsi="Times New Roman" w:eastAsia="Calibri" w:cs="Times New Roman"/>
          <w:sz w:val="28"/>
          <w:shd w:val="clear" w:color="auto" w:fill="FFFFFF"/>
        </w:rPr>
        <w:t xml:space="preserve"> Таманский зерновой терминал, </w:t>
      </w:r>
      <w:r>
        <w:rPr>
          <w:rFonts w:ascii="Times New Roman" w:hAnsi="Times New Roman" w:eastAsia="Calibri" w:cs="Times New Roman"/>
          <w:bCs/>
          <w:color w:val="000000"/>
          <w:sz w:val="28"/>
          <w:shd w:val="clear" w:color="auto" w:fill="FFFFFF"/>
        </w:rPr>
        <w:t>Ейский портовый элеватор, малые порты Азово-Черноморского бассейна и многие другие объекты, занимающиеся ещё и экспортом зерна.</w:t>
      </w:r>
      <w:r>
        <w:rPr>
          <w:rFonts w:ascii="Georgia" w:hAnsi="Georgia" w:eastAsia="Calibri" w:cs="Times New Roman"/>
          <w:color w:val="000000"/>
          <w:sz w:val="28"/>
          <w:shd w:val="clear" w:color="auto" w:fill="FFFFFF"/>
        </w:rPr>
        <w:t xml:space="preserve"> </w:t>
      </w:r>
      <w:r>
        <w:rPr>
          <w:rFonts w:ascii="Georgia" w:hAnsi="Georgia" w:eastAsia="Calibri" w:cs="Times New Roman"/>
          <w:i/>
          <w:color w:val="FF0000"/>
          <w:sz w:val="20"/>
          <w:szCs w:val="20"/>
          <w:shd w:val="clear" w:color="auto" w:fill="FFFFFF"/>
        </w:rPr>
        <w:t xml:space="preserve"> </w:t>
      </w:r>
      <w:r>
        <w:rPr>
          <w:rFonts w:ascii="Times New Roman" w:hAnsi="Times New Roman" w:eastAsia="Calibri" w:cs="Times New Roman"/>
          <w:color w:val="000000"/>
          <w:sz w:val="28"/>
          <w:shd w:val="clear" w:color="auto" w:fill="FFFFFF"/>
        </w:rPr>
        <w:t>По прогнозу аналитического центра «Русагротранс», объем перевалки зерна во всех российских портах к 2022 году может возрасти  в 1,6 раза[1]. В частности, мощности терминалов Азово-Черноморского бассейна в ближайшие пять лет так же увеличатся. Этому будет способствовать расширение мощностей ОТЭКО (Тамань), всех терминалов Новороссийска, а также малых портов Азовского моря.</w:t>
      </w:r>
    </w:p>
    <w:p>
      <w:pPr>
        <w:spacing w:after="0" w:line="360" w:lineRule="auto"/>
        <w:ind w:firstLine="709"/>
        <w:jc w:val="both"/>
        <w:rPr>
          <w:rFonts w:ascii="Times New Roman" w:hAnsi="Times New Roman" w:eastAsia="Calibri" w:cs="Times New Roman"/>
          <w:bCs/>
          <w:color w:val="000000"/>
          <w:sz w:val="28"/>
        </w:rPr>
      </w:pPr>
    </w:p>
    <w:p>
      <w:pPr>
        <w:spacing w:after="0" w:line="360" w:lineRule="auto"/>
        <w:ind w:firstLine="709"/>
        <w:jc w:val="both"/>
        <w:rPr>
          <w:rFonts w:ascii="Times New Roman" w:hAnsi="Times New Roman" w:eastAsia="Calibri" w:cs="Times New Roman"/>
          <w:color w:val="000000"/>
          <w:sz w:val="28"/>
          <w:szCs w:val="20"/>
        </w:rPr>
      </w:pPr>
      <w:r>
        <w:rPr>
          <w:rFonts w:ascii="Times New Roman" w:hAnsi="Times New Roman" w:eastAsia="Calibri" w:cs="Times New Roman"/>
          <w:sz w:val="28"/>
          <w:lang w:eastAsia="ru-RU"/>
        </w:rPr>
        <w:drawing>
          <wp:inline distT="0" distB="0" distL="0" distR="0">
            <wp:extent cx="4076700" cy="269557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after="0" w:line="360" w:lineRule="auto"/>
        <w:ind w:firstLine="709"/>
        <w:jc w:val="both"/>
        <w:rPr>
          <w:rFonts w:ascii="Times New Roman" w:hAnsi="Times New Roman" w:eastAsia="Calibri" w:cs="Times New Roman"/>
          <w:color w:val="000000"/>
          <w:sz w:val="28"/>
          <w:szCs w:val="20"/>
        </w:rPr>
      </w:pPr>
      <w:r>
        <w:rPr>
          <w:rFonts w:ascii="Times New Roman" w:hAnsi="Times New Roman" w:eastAsia="Calibri" w:cs="Times New Roman"/>
          <w:color w:val="000000"/>
          <w:sz w:val="28"/>
          <w:szCs w:val="20"/>
        </w:rPr>
        <w:t xml:space="preserve">Рисунок 3 - Точки перевалки зерна на экспорт </w:t>
      </w:r>
    </w:p>
    <w:p>
      <w:pPr>
        <w:spacing w:after="0" w:line="360" w:lineRule="auto"/>
        <w:ind w:firstLine="709"/>
        <w:jc w:val="both"/>
        <w:rPr>
          <w:rFonts w:ascii="Times New Roman" w:hAnsi="Times New Roman" w:eastAsia="Calibri" w:cs="Times New Roman"/>
          <w:color w:val="000000"/>
          <w:sz w:val="28"/>
          <w:szCs w:val="20"/>
        </w:rPr>
      </w:pPr>
    </w:p>
    <w:p>
      <w:pPr>
        <w:spacing w:after="0" w:line="360" w:lineRule="auto"/>
        <w:ind w:firstLine="709"/>
        <w:jc w:val="both"/>
        <w:rPr>
          <w:rFonts w:ascii="Georgia" w:hAnsi="Georgia" w:eastAsia="Calibri" w:cs="Times New Roman"/>
          <w:color w:val="000000"/>
          <w:sz w:val="28"/>
          <w:shd w:val="clear" w:color="auto" w:fill="FFFFFF"/>
        </w:rPr>
      </w:pPr>
      <w:r>
        <w:rPr>
          <w:rFonts w:ascii="Times New Roman" w:hAnsi="Times New Roman" w:eastAsia="Calibri" w:cs="Times New Roman"/>
          <w:color w:val="222222"/>
          <w:sz w:val="28"/>
          <w:szCs w:val="20"/>
        </w:rPr>
        <w:t>Таким образом, большая часть российского сырья отгружается в регионы, тяготеющие к Черному и Средиземному морям. В условиях высокого спроса на перевалку зерновых в глубоководных портах некоторым экспортерам трудно получить доступ к этому ресурсу, а тарифы на него высокие. Ограничением является пропускная способность автомобильных и железных дорог в южном регионе и, несмотря на большое количество инфраструктуры, дефицит объектов. В результате для некоторых поставщиков, удаленных от портов юга, может быть предпочтительнее отгрузка через комплексы северного субъекта.</w:t>
      </w:r>
      <w:r>
        <w:rPr>
          <w:rFonts w:ascii="Georgia" w:hAnsi="Georgia" w:eastAsia="Calibri" w:cs="Times New Roman"/>
          <w:color w:val="000000"/>
          <w:sz w:val="28"/>
          <w:shd w:val="clear" w:color="auto" w:fill="FFFFFF"/>
        </w:rPr>
        <w:t xml:space="preserve"> </w:t>
      </w:r>
    </w:p>
    <w:p>
      <w:pPr>
        <w:spacing w:after="0" w:line="360" w:lineRule="auto"/>
        <w:ind w:firstLine="709"/>
        <w:jc w:val="both"/>
        <w:rPr>
          <w:rFonts w:ascii="Times New Roman" w:hAnsi="Times New Roman" w:eastAsia="Calibri" w:cs="Times New Roman"/>
          <w:color w:val="222222"/>
          <w:sz w:val="28"/>
          <w:szCs w:val="28"/>
        </w:rPr>
      </w:pPr>
      <w:r>
        <w:rPr>
          <w:rFonts w:ascii="Times New Roman" w:hAnsi="Times New Roman" w:eastAsia="Calibri" w:cs="Times New Roman"/>
          <w:color w:val="000000"/>
          <w:sz w:val="28"/>
          <w:shd w:val="clear" w:color="auto" w:fill="FFFFFF"/>
        </w:rPr>
        <w:t>Российские порты Балтики могут нарастить перевалку  за счёт строительства новых морских зерновых терминалов.</w:t>
      </w:r>
      <w:r>
        <w:rPr>
          <w:rFonts w:ascii="Arial" w:hAnsi="Arial" w:eastAsia="Calibri" w:cs="Arial"/>
          <w:color w:val="222222"/>
          <w:sz w:val="20"/>
          <w:szCs w:val="20"/>
        </w:rPr>
        <w:t xml:space="preserve"> </w:t>
      </w:r>
      <w:r>
        <w:rPr>
          <w:rFonts w:ascii="Times New Roman" w:hAnsi="Times New Roman" w:eastAsia="Calibri" w:cs="Times New Roman"/>
          <w:color w:val="222222"/>
          <w:sz w:val="28"/>
          <w:szCs w:val="28"/>
        </w:rPr>
        <w:t>Россия в 2017/2018 сельскохозяйственном году  увеличила поставки зерна в направлении портов Прибалтики более чем в два раза, что в очередной раз вызвало дискуссии о необходимости строительства собственных зерновых терминалов на Балтике [3].</w:t>
      </w:r>
    </w:p>
    <w:p>
      <w:pPr>
        <w:spacing w:after="0" w:line="360" w:lineRule="auto"/>
        <w:ind w:firstLine="709"/>
        <w:jc w:val="both"/>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8"/>
        </w:rPr>
        <w:t>Весомых причин для строительства зерновых терминалов на российской Балтике несколько:</w:t>
      </w:r>
    </w:p>
    <w:p>
      <w:pPr>
        <w:numPr>
          <w:ilvl w:val="0"/>
          <w:numId w:val="3"/>
        </w:numPr>
        <w:spacing w:after="0" w:line="360" w:lineRule="auto"/>
        <w:contextualSpacing/>
        <w:jc w:val="both"/>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8"/>
        </w:rPr>
        <w:t>В настоящее время специализированные зерновые терминалы на российской Балтике имеются только в Калининграде.</w:t>
      </w:r>
    </w:p>
    <w:p>
      <w:pPr>
        <w:numPr>
          <w:ilvl w:val="0"/>
          <w:numId w:val="3"/>
        </w:numPr>
        <w:spacing w:after="0" w:line="360" w:lineRule="auto"/>
        <w:contextualSpacing/>
        <w:jc w:val="both"/>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8"/>
        </w:rPr>
        <w:t>Российские зернопроизводители используют порты соседних стран.</w:t>
      </w:r>
    </w:p>
    <w:p>
      <w:pPr>
        <w:numPr>
          <w:ilvl w:val="0"/>
          <w:numId w:val="3"/>
        </w:numPr>
        <w:spacing w:after="0" w:line="360" w:lineRule="auto"/>
        <w:contextualSpacing/>
        <w:jc w:val="both"/>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8"/>
        </w:rPr>
        <w:t>Объемы железнодорожных перевозок зерна из России в направлении портов Прибалтики выросли более чем в два раза.</w:t>
      </w:r>
    </w:p>
    <w:p>
      <w:pPr>
        <w:numPr>
          <w:ilvl w:val="0"/>
          <w:numId w:val="3"/>
        </w:numPr>
        <w:spacing w:after="0" w:line="360" w:lineRule="auto"/>
        <w:contextualSpacing/>
        <w:jc w:val="both"/>
        <w:rPr>
          <w:rFonts w:ascii="Times New Roman" w:hAnsi="Times New Roman" w:eastAsia="Calibri" w:cs="Times New Roman"/>
          <w:color w:val="222222"/>
          <w:sz w:val="28"/>
          <w:szCs w:val="28"/>
        </w:rPr>
      </w:pPr>
      <w:r>
        <w:rPr>
          <w:rFonts w:ascii="Georgia" w:hAnsi="Georgia" w:eastAsia="Calibri" w:cs="Times New Roman"/>
          <w:color w:val="000000"/>
          <w:sz w:val="28"/>
          <w:shd w:val="clear" w:color="auto" w:fill="FFFFFF"/>
        </w:rPr>
        <w:t> </w:t>
      </w:r>
      <w:r>
        <w:rPr>
          <w:rFonts w:ascii="Times New Roman" w:hAnsi="Times New Roman" w:eastAsia="Calibri" w:cs="Times New Roman"/>
          <w:color w:val="000000"/>
          <w:sz w:val="28"/>
          <w:shd w:val="clear" w:color="auto" w:fill="FFFFFF"/>
        </w:rPr>
        <w:t>Основной объем зерна через порты Балтии поставляется в африканские страны.</w:t>
      </w:r>
    </w:p>
    <w:p>
      <w:pPr>
        <w:spacing w:after="0" w:line="360" w:lineRule="auto"/>
        <w:ind w:firstLine="709"/>
        <w:jc w:val="both"/>
        <w:rPr>
          <w:rFonts w:ascii="Times New Roman" w:hAnsi="Times New Roman" w:eastAsia="Calibri" w:cs="Times New Roman"/>
          <w:color w:val="000000"/>
          <w:sz w:val="28"/>
          <w:szCs w:val="28"/>
          <w:shd w:val="clear" w:color="auto" w:fill="FFFFFF"/>
        </w:rPr>
      </w:pPr>
      <w:r>
        <w:rPr>
          <w:rFonts w:ascii="Times New Roman" w:hAnsi="Times New Roman" w:eastAsia="Calibri" w:cs="Times New Roman"/>
          <w:color w:val="222222"/>
          <w:sz w:val="28"/>
          <w:szCs w:val="28"/>
        </w:rPr>
        <w:t xml:space="preserve">Один из самых ожидаемых проектов по строительству зернового терминала это Высоцкий зерновой терминал, который будет построен </w:t>
      </w:r>
      <w:r>
        <w:rPr>
          <w:rFonts w:ascii="Times New Roman" w:hAnsi="Times New Roman" w:eastAsia="Calibri" w:cs="Times New Roman"/>
          <w:color w:val="000000"/>
          <w:sz w:val="28"/>
          <w:shd w:val="clear" w:color="auto" w:fill="FFFFFF"/>
        </w:rPr>
        <w:t xml:space="preserve">на </w:t>
      </w:r>
      <w:r>
        <w:rPr>
          <w:rFonts w:ascii="Times New Roman" w:hAnsi="Times New Roman" w:eastAsia="Calibri" w:cs="Times New Roman"/>
          <w:color w:val="000000"/>
          <w:sz w:val="28"/>
          <w:szCs w:val="28"/>
          <w:shd w:val="clear" w:color="auto" w:fill="FFFFFF"/>
        </w:rPr>
        <w:t>территории морского порта Высоцк.</w:t>
      </w:r>
      <w:r>
        <w:rPr>
          <w:rFonts w:ascii="Times New Roman" w:hAnsi="Times New Roman" w:eastAsia="Calibri" w:cs="Times New Roman"/>
          <w:sz w:val="28"/>
        </w:rPr>
        <w:t xml:space="preserve"> </w:t>
      </w:r>
      <w:r>
        <w:rPr>
          <w:rFonts w:ascii="Times New Roman" w:hAnsi="Times New Roman" w:eastAsia="Calibri" w:cs="Times New Roman"/>
          <w:color w:val="000000"/>
          <w:sz w:val="28"/>
          <w:szCs w:val="28"/>
          <w:shd w:val="clear" w:color="auto" w:fill="FFFFFF"/>
        </w:rPr>
        <w:t xml:space="preserve">Строительство Высоцкого зернового терминала внесено в государственного программу Правительства Ленинградской области "Стимулирование экономической активности Ленинградской области" в рамках основного мероприятия "Развитие экспортного потенциала".[2] </w:t>
      </w: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color w:val="000000"/>
          <w:sz w:val="28"/>
        </w:rPr>
        <w:t>С мая 2018 г. ООО «Технотранс» ведет работы по проектированию и изыскательским работам по строительству зернового морского терминала и завода по глубокой переработке зерна в порту Высоцк.</w:t>
      </w:r>
    </w:p>
    <w:p>
      <w:pPr>
        <w:spacing w:after="0" w:line="360" w:lineRule="auto"/>
        <w:ind w:firstLine="709"/>
        <w:jc w:val="both"/>
        <w:rPr>
          <w:rFonts w:ascii="Times New Roman" w:hAnsi="Times New Roman" w:eastAsia="Calibri" w:cs="Times New Roman"/>
          <w:color w:val="000000"/>
          <w:sz w:val="28"/>
          <w:szCs w:val="28"/>
          <w:shd w:val="clear" w:color="auto" w:fill="FFFFFF"/>
        </w:rPr>
      </w:pPr>
      <w:r>
        <w:rPr>
          <w:rFonts w:ascii="Times New Roman" w:hAnsi="Times New Roman" w:eastAsia="Calibri" w:cs="Times New Roman"/>
          <w:color w:val="000000"/>
          <w:sz w:val="28"/>
          <w:szCs w:val="28"/>
          <w:shd w:val="clear" w:color="auto" w:fill="FFFFFF"/>
        </w:rPr>
        <w:t>Благодаря строительству нового зернового терминала Россия сможет:</w:t>
      </w:r>
    </w:p>
    <w:p>
      <w:pPr>
        <w:numPr>
          <w:ilvl w:val="0"/>
          <w:numId w:val="4"/>
        </w:numPr>
        <w:spacing w:after="0" w:line="360" w:lineRule="auto"/>
        <w:contextualSpacing/>
        <w:jc w:val="both"/>
        <w:rPr>
          <w:rFonts w:ascii="Times New Roman" w:hAnsi="Times New Roman" w:eastAsia="Calibri" w:cs="Times New Roman"/>
          <w:color w:val="000000"/>
          <w:sz w:val="28"/>
          <w:szCs w:val="28"/>
          <w:shd w:val="clear" w:color="auto" w:fill="FFFFFF"/>
        </w:rPr>
      </w:pPr>
      <w:r>
        <w:rPr>
          <w:rFonts w:ascii="Times New Roman" w:hAnsi="Times New Roman" w:eastAsia="Calibri" w:cs="Times New Roman"/>
          <w:color w:val="000000"/>
          <w:sz w:val="28"/>
        </w:rPr>
        <w:t>Расширить условия развития экспортного потенциала страны</w:t>
      </w:r>
    </w:p>
    <w:p>
      <w:pPr>
        <w:numPr>
          <w:ilvl w:val="0"/>
          <w:numId w:val="4"/>
        </w:numPr>
        <w:spacing w:after="0" w:line="360" w:lineRule="auto"/>
        <w:contextualSpacing/>
        <w:jc w:val="both"/>
        <w:rPr>
          <w:rFonts w:ascii="Times New Roman" w:hAnsi="Times New Roman" w:eastAsia="Calibri" w:cs="Times New Roman"/>
          <w:color w:val="000000"/>
          <w:sz w:val="28"/>
          <w:szCs w:val="28"/>
          <w:shd w:val="clear" w:color="auto" w:fill="FFFFFF"/>
        </w:rPr>
      </w:pPr>
      <w:r>
        <w:rPr>
          <w:rFonts w:ascii="Times New Roman" w:hAnsi="Times New Roman" w:eastAsia="Calibri" w:cs="Times New Roman"/>
          <w:color w:val="000000"/>
          <w:sz w:val="28"/>
        </w:rPr>
        <w:t>Увеличить мощности морских портов Российской Федерации Северо-Западного бассейна</w:t>
      </w:r>
    </w:p>
    <w:p>
      <w:pPr>
        <w:numPr>
          <w:ilvl w:val="0"/>
          <w:numId w:val="4"/>
        </w:numPr>
        <w:spacing w:after="0" w:line="360" w:lineRule="auto"/>
        <w:contextualSpacing/>
        <w:jc w:val="both"/>
        <w:rPr>
          <w:rFonts w:ascii="Times New Roman" w:hAnsi="Times New Roman" w:eastAsia="Calibri" w:cs="Times New Roman"/>
          <w:color w:val="000000"/>
          <w:sz w:val="28"/>
          <w:szCs w:val="28"/>
          <w:shd w:val="clear" w:color="auto" w:fill="FFFFFF"/>
        </w:rPr>
      </w:pPr>
      <w:r>
        <w:rPr>
          <w:rFonts w:ascii="Times New Roman" w:hAnsi="Times New Roman" w:eastAsia="Calibri" w:cs="Times New Roman"/>
          <w:color w:val="000000"/>
          <w:sz w:val="28"/>
        </w:rPr>
        <w:t>Переориентировать перевозки зерновых грузов с портов Прибалтики на собственные портовые мощности</w:t>
      </w:r>
    </w:p>
    <w:p>
      <w:pPr>
        <w:numPr>
          <w:ilvl w:val="0"/>
          <w:numId w:val="4"/>
        </w:numPr>
        <w:spacing w:after="0" w:line="360" w:lineRule="auto"/>
        <w:contextualSpacing/>
        <w:jc w:val="both"/>
        <w:rPr>
          <w:rFonts w:ascii="Times New Roman" w:hAnsi="Times New Roman" w:eastAsia="Calibri" w:cs="Times New Roman"/>
          <w:color w:val="000000"/>
          <w:sz w:val="28"/>
        </w:rPr>
      </w:pPr>
      <w:r>
        <w:rPr>
          <w:rFonts w:ascii="Times New Roman" w:hAnsi="Times New Roman" w:eastAsia="Calibri" w:cs="Times New Roman"/>
          <w:color w:val="000000"/>
          <w:sz w:val="28"/>
        </w:rPr>
        <w:t>Производить продукцию глубокой переработки пшеницы для укрепления продовольственной безопасности и расширения экспорта продукции с высокой добавленной стоимостью.</w:t>
      </w: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color w:val="000000"/>
          <w:sz w:val="28"/>
        </w:rPr>
        <w:t xml:space="preserve">Производственный комплекс Высоцкого зернового терминала предусматривает строительство инновационного производственного комплекса по глубокой переработке пшеницы [2]. Продукция комплекса позволит не только увеличить экспорт  пшеницы, но и обеспечить рынок Северо-Запада высококачественным сырьём для кондитерской, хлебопекарной, мясоперерабатывающей промышленности, которое, в свою очередь, позволит улучшить качество, вкусовые свойства продукта, а так же оптимизировать себестоимость производимой из него продукции и обеспечить доступность этих продуктов. </w:t>
      </w:r>
    </w:p>
    <w:p>
      <w:pPr>
        <w:spacing w:after="0" w:line="360" w:lineRule="auto"/>
        <w:ind w:firstLine="709"/>
        <w:jc w:val="both"/>
        <w:rPr>
          <w:rFonts w:ascii="Times New Roman" w:hAnsi="Times New Roman" w:eastAsia="Calibri" w:cs="Times New Roman"/>
          <w:color w:val="000000"/>
          <w:sz w:val="28"/>
        </w:rPr>
      </w:pPr>
      <w:r>
        <w:rPr>
          <w:rFonts w:ascii="Times New Roman" w:hAnsi="Times New Roman" w:eastAsia="Calibri" w:cs="Times New Roman"/>
          <w:color w:val="222222"/>
          <w:sz w:val="28"/>
          <w:szCs w:val="28"/>
        </w:rPr>
        <w:t>В первую очередь планируется построить морской перегрузочный терминал с двумя причалами для судов с осадкой до 11,9 метров и грузоподъемностью до 57 тысяч тонн [2]. Для хранения зерна на территории терминала планируется построить 12 плоскодонных силосов общей вместимостью 120 тысяч тонн и два склада напольного хранения на 45 тысяч тонн.</w:t>
      </w:r>
    </w:p>
    <w:p>
      <w:pPr>
        <w:spacing w:after="0" w:line="360" w:lineRule="auto"/>
        <w:ind w:firstLine="709"/>
        <w:jc w:val="both"/>
        <w:textAlignment w:val="baseline"/>
        <w:rPr>
          <w:rFonts w:ascii="Times New Roman" w:hAnsi="Times New Roman" w:eastAsia="Times New Roman" w:cs="Times New Roman"/>
          <w:color w:val="222222"/>
          <w:sz w:val="28"/>
          <w:szCs w:val="28"/>
          <w:lang w:eastAsia="ru-RU"/>
        </w:rPr>
      </w:pPr>
      <w:r>
        <w:rPr>
          <w:rFonts w:ascii="Times New Roman" w:hAnsi="Times New Roman" w:eastAsia="Times New Roman" w:cs="Times New Roman"/>
          <w:color w:val="222222"/>
          <w:sz w:val="28"/>
          <w:szCs w:val="28"/>
          <w:lang w:eastAsia="ru-RU"/>
        </w:rPr>
        <w:t>Проектная пропускная способность зернового терминала – 4 миллиона тон в год. Из них 3,5 миллиона тонн различного вида зерна будет экспортироваться. До 500 тысяч тонн в год сахара-сырца и шротов через новый терминал планируется поставлять транзитом в Среднюю Азию.</w:t>
      </w:r>
    </w:p>
    <w:p>
      <w:pPr>
        <w:spacing w:after="0" w:line="360" w:lineRule="auto"/>
        <w:ind w:firstLine="709"/>
        <w:jc w:val="both"/>
        <w:textAlignment w:val="baseline"/>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8"/>
        </w:rPr>
        <w:t>Так же для обеспечения транспортной доступности терминала должно быть построено 12 километров железнодорожных путей. В сутки Высоцкий зерновой терминал сможет принимать 198 вагонов. Реализацию первого этапа проекта планируется завершить в 2022 году [2].</w:t>
      </w:r>
    </w:p>
    <w:p>
      <w:pPr>
        <w:spacing w:after="0" w:line="360" w:lineRule="auto"/>
        <w:ind w:firstLine="709"/>
        <w:jc w:val="both"/>
        <w:textAlignment w:val="baseline"/>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8"/>
        </w:rPr>
        <w:t>На втором этапе планируется строительство комплекса глубокой переработки пшеницы с производством пшеничного глютена, нативного крахмала, глюкозно-фруктозного сиропа и кормовых добавок с годовым объемом 180 тысяч тонн в год. Завершить строительство планируется в 2023 году [2].</w:t>
      </w:r>
    </w:p>
    <w:p>
      <w:pPr>
        <w:spacing w:after="0" w:line="360" w:lineRule="auto"/>
        <w:ind w:firstLine="709"/>
        <w:jc w:val="both"/>
        <w:textAlignment w:val="baseline"/>
        <w:rPr>
          <w:rFonts w:ascii="Times New Roman" w:hAnsi="Times New Roman" w:eastAsia="Calibri" w:cs="Times New Roman"/>
          <w:color w:val="222222"/>
          <w:sz w:val="28"/>
          <w:szCs w:val="28"/>
        </w:rPr>
      </w:pPr>
      <w:r>
        <w:rPr>
          <w:rFonts w:ascii="Times New Roman" w:hAnsi="Times New Roman" w:eastAsia="Calibri" w:cs="Times New Roman"/>
          <w:color w:val="000000"/>
          <w:sz w:val="28"/>
          <w:shd w:val="clear" w:color="auto" w:fill="FFFFFF"/>
        </w:rPr>
        <w:t xml:space="preserve">При этом Высоцкий зерновой терминал является не единственным проектом, заявленным в Ленинградской области. Еще ранее началось  строительство зернового терминала в Усть-Луге в Ленинградской области. Проект также включает возведение терминала под экспорт прочих аграрных грузов </w:t>
      </w:r>
      <w:r>
        <w:rPr>
          <w:rFonts w:ascii="Times New Roman" w:hAnsi="Times New Roman" w:eastAsia="Calibri" w:cs="Times New Roman"/>
          <w:color w:val="222222"/>
          <w:sz w:val="28"/>
          <w:szCs w:val="28"/>
        </w:rPr>
        <w:t>[3].</w:t>
      </w:r>
      <w:r>
        <w:rPr>
          <w:rFonts w:ascii="Times New Roman" w:hAnsi="Times New Roman" w:eastAsia="Calibri" w:cs="Times New Roman"/>
          <w:color w:val="000000"/>
          <w:sz w:val="28"/>
          <w:shd w:val="clear" w:color="auto" w:fill="FFFFFF"/>
        </w:rPr>
        <w:t xml:space="preserve"> И намерено построить глубоководный портовый комплекс, в том числе по перевалке зерна, в Приморске Ленинградской области.</w:t>
      </w:r>
    </w:p>
    <w:p>
      <w:pPr>
        <w:spacing w:after="0" w:line="360" w:lineRule="auto"/>
        <w:ind w:firstLine="709"/>
        <w:jc w:val="both"/>
        <w:textAlignment w:val="baseline"/>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0"/>
        </w:rPr>
        <w:t>Таким образом, рано или поздно дефицит объектов на юге России будет ликвидирован за счет строительства новых терминалов. В этом случае спрос на перевалку зерновых в Балтийском море может снизиться. Чтобы этого не случилось, Россия должна укрепить свои позиции на рынках Северной и Западной Европы, а так же на других не южных направлениях. В худшем случае специализированные терминалы на Балтике могут остаться недозагруженными, и это, в свою очередь, несет риск для инвесторов.</w:t>
      </w:r>
    </w:p>
    <w:p>
      <w:pPr>
        <w:spacing w:after="0" w:line="276" w:lineRule="auto"/>
        <w:rPr>
          <w:rFonts w:ascii="Times New Roman" w:hAnsi="Times New Roman" w:eastAsia="Calibri" w:cs="Times New Roman"/>
          <w:b/>
          <w:color w:val="FF0000"/>
          <w:sz w:val="28"/>
          <w:szCs w:val="28"/>
        </w:rPr>
      </w:pPr>
    </w:p>
    <w:p>
      <w:pPr>
        <w:spacing w:after="0" w:line="360" w:lineRule="auto"/>
        <w:ind w:firstLine="709"/>
        <w:jc w:val="center"/>
        <w:rPr>
          <w:rFonts w:ascii="Times New Roman" w:hAnsi="Times New Roman" w:eastAsia="Calibri" w:cs="Times New Roman"/>
          <w:sz w:val="28"/>
          <w:szCs w:val="28"/>
        </w:rPr>
      </w:pPr>
      <w:r>
        <w:rPr>
          <w:rFonts w:ascii="Times New Roman" w:hAnsi="Times New Roman" w:eastAsia="Calibri" w:cs="Times New Roman"/>
          <w:b/>
          <w:bCs/>
          <w:sz w:val="28"/>
          <w:szCs w:val="28"/>
        </w:rPr>
        <w:t>Библиографический список</w:t>
      </w:r>
    </w:p>
    <w:p>
      <w:pPr>
        <w:numPr>
          <w:ilvl w:val="0"/>
          <w:numId w:val="5"/>
        </w:numPr>
        <w:tabs>
          <w:tab w:val="left" w:pos="0"/>
        </w:tabs>
        <w:spacing w:after="0" w:line="360" w:lineRule="auto"/>
        <w:ind w:left="0" w:firstLine="709"/>
        <w:contextualSpacing/>
        <w:jc w:val="both"/>
        <w:rPr>
          <w:rFonts w:ascii="Times New Roman" w:hAnsi="Times New Roman" w:eastAsia="Times New Roman" w:cs="Times New Roman"/>
          <w:sz w:val="24"/>
          <w:szCs w:val="24"/>
          <w:lang w:eastAsia="ru-RU"/>
        </w:rPr>
      </w:pPr>
      <w:r>
        <w:rPr>
          <w:rFonts w:ascii="Times New Roman" w:hAnsi="Times New Roman" w:eastAsia="Calibri" w:cs="Times New Roman"/>
          <w:sz w:val="28"/>
        </w:rPr>
        <w:t xml:space="preserve">Информационное агентство РЖД Партнер.ру </w:t>
      </w:r>
      <w:r>
        <w:rPr>
          <w:rFonts w:ascii="Times New Roman" w:hAnsi="Times New Roman" w:eastAsia="Calibri" w:cs="Times New Roman"/>
          <w:iCs/>
          <w:color w:val="000000"/>
          <w:sz w:val="28"/>
          <w:szCs w:val="28"/>
          <w:shd w:val="clear" w:color="auto" w:fill="FFFFFF"/>
        </w:rPr>
        <w:t xml:space="preserve">рынков </w:t>
      </w:r>
      <w:r>
        <w:rPr>
          <w:rFonts w:ascii="Times New Roman" w:hAnsi="Times New Roman" w:eastAsia="Calibri" w:cs="Times New Roman"/>
          <w:color w:val="333333"/>
          <w:sz w:val="28"/>
          <w:szCs w:val="28"/>
          <w:shd w:val="clear" w:color="auto" w:fill="FFFFFF"/>
        </w:rPr>
        <w:t>&lt;</w:t>
      </w:r>
      <w:r>
        <w:rPr>
          <w:rFonts w:ascii="Times New Roman" w:hAnsi="Times New Roman" w:eastAsia="Calibri" w:cs="Times New Roman"/>
          <w:sz w:val="28"/>
          <w:szCs w:val="28"/>
        </w:rPr>
        <w:t>Электронный ресурс</w:t>
      </w:r>
      <w:r>
        <w:rPr>
          <w:rFonts w:ascii="Times New Roman" w:hAnsi="Times New Roman" w:eastAsia="Calibri" w:cs="Times New Roman"/>
          <w:color w:val="333333"/>
          <w:sz w:val="28"/>
          <w:szCs w:val="28"/>
          <w:shd w:val="clear" w:color="auto" w:fill="FFFFFF"/>
        </w:rPr>
        <w:t xml:space="preserve">&gt;.-Код доступа: </w:t>
      </w:r>
      <w:r>
        <w:rPr>
          <w:rFonts w:ascii="Times New Roman" w:hAnsi="Times New Roman" w:eastAsia="Calibri" w:cs="Times New Roman"/>
          <w:sz w:val="28"/>
        </w:rPr>
        <w:t>https://www.rzd-partner.ru/logistics/interview/dolya-rossii-v-mirovom-eksporte-pshenitsy-v-tekushchem-zernovom-sezone-sostavit-19-3/</w:t>
      </w:r>
      <w:r>
        <w:rPr>
          <w:rFonts w:ascii="Times New Roman" w:hAnsi="Times New Roman" w:eastAsia="Calibri" w:cs="Times New Roman"/>
          <w:color w:val="333333"/>
          <w:sz w:val="28"/>
          <w:szCs w:val="28"/>
          <w:u w:val="single"/>
          <w:shd w:val="clear" w:color="auto" w:fill="FFFFFF"/>
        </w:rPr>
        <w:t xml:space="preserve"> (</w:t>
      </w:r>
      <w:r>
        <w:rPr>
          <w:rFonts w:ascii="Times New Roman" w:hAnsi="Times New Roman" w:eastAsia="Calibri" w:cs="Times New Roman"/>
          <w:color w:val="333333"/>
          <w:sz w:val="28"/>
          <w:szCs w:val="28"/>
          <w:shd w:val="clear" w:color="auto" w:fill="FFFFFF"/>
        </w:rPr>
        <w:t>дата обращения 01.03.2020)</w:t>
      </w:r>
    </w:p>
    <w:p>
      <w:pPr>
        <w:numPr>
          <w:ilvl w:val="0"/>
          <w:numId w:val="5"/>
        </w:numPr>
        <w:spacing w:after="0" w:line="360" w:lineRule="auto"/>
        <w:ind w:left="0" w:firstLine="709"/>
        <w:contextualSpacing/>
        <w:jc w:val="both"/>
        <w:rPr>
          <w:rFonts w:ascii="Times New Roman" w:hAnsi="Times New Roman" w:eastAsia="Calibri" w:cs="Times New Roman"/>
          <w:sz w:val="28"/>
        </w:rPr>
      </w:pPr>
      <w:r>
        <w:rPr>
          <w:rFonts w:ascii="Times New Roman" w:hAnsi="Times New Roman" w:eastAsia="Calibri" w:cs="Times New Roman"/>
          <w:sz w:val="28"/>
        </w:rPr>
        <w:t xml:space="preserve">ООО «Технотранс» </w:t>
      </w:r>
      <w:r>
        <w:rPr>
          <w:rFonts w:ascii="Times New Roman" w:hAnsi="Times New Roman" w:eastAsia="Calibri" w:cs="Times New Roman"/>
          <w:color w:val="333333"/>
          <w:sz w:val="28"/>
          <w:szCs w:val="28"/>
          <w:shd w:val="clear" w:color="auto" w:fill="FFFFFF"/>
        </w:rPr>
        <w:t>&lt;</w:t>
      </w:r>
      <w:r>
        <w:rPr>
          <w:rFonts w:ascii="Times New Roman" w:hAnsi="Times New Roman" w:eastAsia="Calibri" w:cs="Times New Roman"/>
          <w:sz w:val="28"/>
          <w:szCs w:val="28"/>
        </w:rPr>
        <w:t>Электронный ресурс</w:t>
      </w:r>
      <w:r>
        <w:rPr>
          <w:rFonts w:ascii="Times New Roman" w:hAnsi="Times New Roman" w:eastAsia="Calibri" w:cs="Times New Roman"/>
          <w:color w:val="333333"/>
          <w:sz w:val="28"/>
          <w:szCs w:val="28"/>
          <w:shd w:val="clear" w:color="auto" w:fill="FFFFFF"/>
        </w:rPr>
        <w:t>&gt;. -Код доступа:</w:t>
      </w:r>
      <w:r>
        <w:rPr>
          <w:rFonts w:ascii="Times New Roman" w:hAnsi="Times New Roman" w:eastAsia="Calibri" w:cs="Times New Roman"/>
          <w:sz w:val="28"/>
        </w:rPr>
        <w:t xml:space="preserve"> http://www.tehnotrans.ru/ru/</w:t>
      </w:r>
      <w:r>
        <w:rPr>
          <w:rFonts w:ascii="Times New Roman" w:hAnsi="Times New Roman" w:eastAsia="Calibri" w:cs="Times New Roman"/>
          <w:color w:val="333333"/>
          <w:sz w:val="28"/>
          <w:szCs w:val="28"/>
          <w:u w:val="single"/>
          <w:shd w:val="clear" w:color="auto" w:fill="FFFFFF"/>
        </w:rPr>
        <w:t xml:space="preserve"> (</w:t>
      </w:r>
      <w:r>
        <w:rPr>
          <w:rFonts w:ascii="Times New Roman" w:hAnsi="Times New Roman" w:eastAsia="Calibri" w:cs="Times New Roman"/>
          <w:color w:val="333333"/>
          <w:sz w:val="28"/>
          <w:szCs w:val="28"/>
          <w:shd w:val="clear" w:color="auto" w:fill="FFFFFF"/>
        </w:rPr>
        <w:t>дата обращения 02.03.2020)</w:t>
      </w:r>
    </w:p>
    <w:p>
      <w:pPr>
        <w:numPr>
          <w:ilvl w:val="0"/>
          <w:numId w:val="5"/>
        </w:numPr>
        <w:spacing w:after="0" w:line="360" w:lineRule="auto"/>
        <w:ind w:left="0" w:firstLine="709"/>
        <w:contextualSpacing/>
        <w:jc w:val="both"/>
        <w:rPr>
          <w:rFonts w:ascii="Times New Roman" w:hAnsi="Times New Roman" w:eastAsia="Calibri" w:cs="Times New Roman"/>
          <w:sz w:val="28"/>
        </w:rPr>
      </w:pPr>
      <w:r>
        <w:rPr>
          <w:rFonts w:ascii="Times New Roman" w:hAnsi="Times New Roman" w:eastAsia="Calibri" w:cs="Times New Roman"/>
          <w:sz w:val="28"/>
        </w:rPr>
        <w:t xml:space="preserve">РБК </w:t>
      </w:r>
      <w:r>
        <w:rPr>
          <w:rFonts w:ascii="Times New Roman" w:hAnsi="Times New Roman" w:eastAsia="Calibri" w:cs="Times New Roman"/>
          <w:color w:val="333333"/>
          <w:sz w:val="28"/>
          <w:szCs w:val="28"/>
          <w:shd w:val="clear" w:color="auto" w:fill="FFFFFF"/>
        </w:rPr>
        <w:t>&lt;</w:t>
      </w:r>
      <w:r>
        <w:rPr>
          <w:rFonts w:ascii="Times New Roman" w:hAnsi="Times New Roman" w:eastAsia="Calibri" w:cs="Times New Roman"/>
          <w:sz w:val="28"/>
          <w:szCs w:val="28"/>
        </w:rPr>
        <w:t>Электронный ресурс</w:t>
      </w:r>
      <w:r>
        <w:rPr>
          <w:rFonts w:ascii="Times New Roman" w:hAnsi="Times New Roman" w:eastAsia="Calibri" w:cs="Times New Roman"/>
          <w:color w:val="333333"/>
          <w:sz w:val="28"/>
          <w:szCs w:val="28"/>
          <w:shd w:val="clear" w:color="auto" w:fill="FFFFFF"/>
        </w:rPr>
        <w:t>&gt;. -Код доступа:</w:t>
      </w:r>
      <w:r>
        <w:rPr>
          <w:rFonts w:ascii="Times New Roman" w:hAnsi="Times New Roman" w:eastAsia="Calibri" w:cs="Times New Roman"/>
          <w:sz w:val="28"/>
        </w:rPr>
        <w:t xml:space="preserve"> https://www.rbc.ru/spb_sz/05/06/2019/5cf76d7f9a794726d271e092 </w:t>
      </w:r>
      <w:r>
        <w:rPr>
          <w:rFonts w:ascii="Times New Roman" w:hAnsi="Times New Roman" w:eastAsia="Calibri" w:cs="Times New Roman"/>
          <w:color w:val="333333"/>
          <w:sz w:val="28"/>
          <w:szCs w:val="28"/>
          <w:u w:val="single"/>
          <w:shd w:val="clear" w:color="auto" w:fill="FFFFFF"/>
        </w:rPr>
        <w:t>(</w:t>
      </w:r>
      <w:r>
        <w:rPr>
          <w:rFonts w:ascii="Times New Roman" w:hAnsi="Times New Roman" w:eastAsia="Calibri" w:cs="Times New Roman"/>
          <w:color w:val="333333"/>
          <w:sz w:val="28"/>
          <w:szCs w:val="28"/>
          <w:shd w:val="clear" w:color="auto" w:fill="FFFFFF"/>
        </w:rPr>
        <w:t>дата обращения 04.03.2020)</w:t>
      </w:r>
    </w:p>
    <w:p>
      <w:pPr>
        <w:numPr>
          <w:ilvl w:val="0"/>
          <w:numId w:val="5"/>
        </w:numPr>
        <w:spacing w:after="0" w:line="360" w:lineRule="auto"/>
        <w:ind w:left="0" w:firstLine="709"/>
        <w:contextualSpacing/>
        <w:jc w:val="both"/>
        <w:rPr>
          <w:rFonts w:ascii="Times New Roman" w:hAnsi="Times New Roman" w:eastAsia="Calibri" w:cs="Times New Roman"/>
          <w:color w:val="0000FF"/>
          <w:sz w:val="28"/>
          <w:u w:val="single"/>
        </w:rPr>
      </w:pPr>
      <w:r>
        <w:rPr>
          <w:rFonts w:ascii="Times New Roman" w:hAnsi="Times New Roman" w:eastAsia="Calibri" w:cs="Times New Roman"/>
          <w:sz w:val="28"/>
        </w:rPr>
        <w:t xml:space="preserve">Электронный журнал АгроИнвестор </w:t>
      </w:r>
      <w:r>
        <w:rPr>
          <w:rFonts w:ascii="Times New Roman" w:hAnsi="Times New Roman" w:eastAsia="Calibri" w:cs="Times New Roman"/>
          <w:color w:val="333333"/>
          <w:sz w:val="28"/>
          <w:szCs w:val="28"/>
          <w:shd w:val="clear" w:color="auto" w:fill="FFFFFF"/>
        </w:rPr>
        <w:t>&lt;</w:t>
      </w:r>
      <w:r>
        <w:rPr>
          <w:rFonts w:ascii="Times New Roman" w:hAnsi="Times New Roman" w:eastAsia="Calibri" w:cs="Times New Roman"/>
          <w:sz w:val="28"/>
          <w:szCs w:val="28"/>
        </w:rPr>
        <w:t>Электронный ресурс</w:t>
      </w:r>
      <w:r>
        <w:rPr>
          <w:rFonts w:ascii="Times New Roman" w:hAnsi="Times New Roman" w:eastAsia="Calibri" w:cs="Times New Roman"/>
          <w:color w:val="333333"/>
          <w:sz w:val="28"/>
          <w:szCs w:val="28"/>
          <w:shd w:val="clear" w:color="auto" w:fill="FFFFFF"/>
        </w:rPr>
        <w:t>&gt;.-Код доступа:</w:t>
      </w:r>
      <w:r>
        <w:rPr>
          <w:rFonts w:ascii="Times New Roman" w:hAnsi="Times New Roman" w:eastAsia="Calibri" w:cs="Times New Roman"/>
          <w:sz w:val="28"/>
        </w:rPr>
        <w:t xml:space="preserve"> https://www.agroinvestor.ru/investments/news/31824-tekhnotrans-vlozhit-13-mlrd-rubley-v-zernovoy-terminal/</w:t>
      </w:r>
      <w:r>
        <w:rPr>
          <w:rFonts w:ascii="Times New Roman" w:hAnsi="Times New Roman" w:eastAsia="Calibri" w:cs="Times New Roman"/>
          <w:color w:val="333333"/>
          <w:sz w:val="28"/>
          <w:szCs w:val="28"/>
          <w:u w:val="single"/>
          <w:shd w:val="clear" w:color="auto" w:fill="FFFFFF"/>
        </w:rPr>
        <w:t>(</w:t>
      </w:r>
      <w:r>
        <w:rPr>
          <w:rFonts w:ascii="Times New Roman" w:hAnsi="Times New Roman" w:eastAsia="Calibri" w:cs="Times New Roman"/>
          <w:color w:val="333333"/>
          <w:sz w:val="28"/>
          <w:szCs w:val="28"/>
          <w:shd w:val="clear" w:color="auto" w:fill="FFFFFF"/>
        </w:rPr>
        <w:t>дата обращения 02.03.2020)</w:t>
      </w:r>
    </w:p>
    <w:p>
      <w:pPr>
        <w:numPr>
          <w:ilvl w:val="0"/>
          <w:numId w:val="5"/>
        </w:numPr>
        <w:spacing w:after="0" w:line="360" w:lineRule="auto"/>
        <w:ind w:left="0" w:firstLine="709"/>
        <w:contextualSpacing/>
        <w:jc w:val="both"/>
        <w:rPr>
          <w:rFonts w:ascii="Times New Roman" w:hAnsi="Times New Roman" w:eastAsia="Calibri" w:cs="Times New Roman"/>
          <w:color w:val="333333"/>
          <w:sz w:val="28"/>
          <w:szCs w:val="28"/>
          <w:shd w:val="clear" w:color="auto" w:fill="FFFFFF"/>
        </w:rPr>
      </w:pPr>
      <w:r>
        <w:rPr>
          <w:rFonts w:ascii="Times New Roman" w:hAnsi="Times New Roman" w:eastAsia="Calibri" w:cs="Times New Roman"/>
          <w:sz w:val="28"/>
          <w:lang w:val="en-US"/>
        </w:rPr>
        <w:t>VVS</w:t>
      </w:r>
      <w:r>
        <w:rPr>
          <w:rFonts w:ascii="Times New Roman" w:hAnsi="Times New Roman" w:eastAsia="Calibri" w:cs="Times New Roman"/>
          <w:sz w:val="28"/>
        </w:rPr>
        <w:t>.</w:t>
      </w:r>
      <w:r>
        <w:rPr>
          <w:rFonts w:ascii="Arial" w:hAnsi="Arial" w:eastAsia="Calibri" w:cs="Arial"/>
          <w:i/>
          <w:iCs/>
          <w:color w:val="505050"/>
          <w:sz w:val="21"/>
          <w:szCs w:val="21"/>
          <w:shd w:val="clear" w:color="auto" w:fill="FFFFFF"/>
        </w:rPr>
        <w:t xml:space="preserve"> </w:t>
      </w:r>
      <w:r>
        <w:rPr>
          <w:rFonts w:ascii="Times New Roman" w:hAnsi="Times New Roman" w:eastAsia="Calibri" w:cs="Times New Roman"/>
          <w:iCs/>
          <w:color w:val="000000"/>
          <w:sz w:val="28"/>
          <w:szCs w:val="28"/>
          <w:shd w:val="clear" w:color="auto" w:fill="FFFFFF"/>
        </w:rPr>
        <w:t xml:space="preserve">Официальный партнёр Российского экспортного центра по исследованиям зарубежных рынков </w:t>
      </w:r>
      <w:r>
        <w:rPr>
          <w:rFonts w:ascii="Times New Roman" w:hAnsi="Times New Roman" w:eastAsia="Calibri" w:cs="Times New Roman"/>
          <w:color w:val="333333"/>
          <w:sz w:val="28"/>
          <w:szCs w:val="28"/>
          <w:shd w:val="clear" w:color="auto" w:fill="FFFFFF"/>
        </w:rPr>
        <w:t>&lt;</w:t>
      </w:r>
      <w:r>
        <w:rPr>
          <w:rFonts w:ascii="Times New Roman" w:hAnsi="Times New Roman" w:eastAsia="Calibri" w:cs="Times New Roman"/>
          <w:sz w:val="28"/>
          <w:szCs w:val="28"/>
        </w:rPr>
        <w:t>Электронный ресурс</w:t>
      </w:r>
      <w:r>
        <w:rPr>
          <w:rFonts w:ascii="Times New Roman" w:hAnsi="Times New Roman" w:eastAsia="Calibri" w:cs="Times New Roman"/>
          <w:color w:val="333333"/>
          <w:sz w:val="28"/>
          <w:szCs w:val="28"/>
          <w:shd w:val="clear" w:color="auto" w:fill="FFFFFF"/>
        </w:rPr>
        <w:t xml:space="preserve">&gt;.-Код доступа: </w:t>
      </w:r>
      <w:r>
        <w:rPr>
          <w:rFonts w:ascii="Times New Roman" w:hAnsi="Times New Roman" w:eastAsia="Calibri" w:cs="Times New Roman"/>
          <w:sz w:val="28"/>
        </w:rPr>
        <w:t>https://vvs-info.ru/helpful_information/poleznaya-informatsiya/eksport-zerna-iz-rossii/</w:t>
      </w:r>
      <w:r>
        <w:rPr>
          <w:rFonts w:ascii="Times New Roman" w:hAnsi="Times New Roman" w:eastAsia="Calibri" w:cs="Times New Roman"/>
          <w:color w:val="333333"/>
          <w:sz w:val="28"/>
          <w:szCs w:val="28"/>
          <w:u w:val="single"/>
          <w:shd w:val="clear" w:color="auto" w:fill="FFFFFF"/>
        </w:rPr>
        <w:t>(</w:t>
      </w:r>
      <w:r>
        <w:rPr>
          <w:rFonts w:ascii="Times New Roman" w:hAnsi="Times New Roman" w:eastAsia="Calibri" w:cs="Times New Roman"/>
          <w:color w:val="333333"/>
          <w:sz w:val="28"/>
          <w:szCs w:val="28"/>
          <w:shd w:val="clear" w:color="auto" w:fill="FFFFFF"/>
        </w:rPr>
        <w:t>дата обращения 01.03.2020)</w:t>
      </w:r>
    </w:p>
    <w:p>
      <w:pPr>
        <w:rPr>
          <w:shd w:val="clear" w:color="auto" w:fill="FFFFFF"/>
        </w:rPr>
      </w:pPr>
      <w:r>
        <w:rPr>
          <w:shd w:val="clear" w:color="auto" w:fill="FFFFFF"/>
        </w:rPr>
        <w:br w:type="page"/>
      </w:r>
    </w:p>
    <w:p>
      <w:pPr>
        <w:spacing w:after="0" w:line="360" w:lineRule="auto"/>
        <w:ind w:firstLine="709"/>
        <w:jc w:val="right"/>
        <w:rPr>
          <w:rFonts w:ascii="Times New Roman" w:hAnsi="Times New Roman" w:eastAsia="Times New Roman" w:cs="Times New Roman"/>
          <w:b/>
          <w:sz w:val="28"/>
          <w:szCs w:val="28"/>
          <w:lang w:val="pl-PL" w:eastAsia="pl-PL"/>
        </w:rPr>
      </w:pPr>
      <w:r>
        <w:rPr>
          <w:rFonts w:ascii="Times New Roman" w:hAnsi="Times New Roman" w:eastAsia="Times New Roman" w:cs="Times New Roman"/>
          <w:b/>
          <w:sz w:val="28"/>
          <w:szCs w:val="28"/>
          <w:lang w:eastAsia="pl-PL"/>
        </w:rPr>
        <w:t>Ю.В. Коровяковская*, Т. С. Цимбалюк**</w:t>
      </w:r>
      <w:r>
        <w:rPr>
          <w:rFonts w:ascii="Times New Roman" w:hAnsi="Times New Roman" w:eastAsia="Times New Roman" w:cs="Times New Roman"/>
          <w:b/>
          <w:sz w:val="28"/>
          <w:szCs w:val="28"/>
          <w:lang w:val="pl-PL" w:eastAsia="pl-PL"/>
        </w:rPr>
        <w:t xml:space="preserve"> </w:t>
      </w:r>
    </w:p>
    <w:p>
      <w:pPr>
        <w:spacing w:after="0" w:line="360" w:lineRule="auto"/>
        <w:jc w:val="right"/>
        <w:rPr>
          <w:rFonts w:ascii="Times New Roman" w:hAnsi="Times New Roman" w:eastAsia="Times New Roman" w:cs="Times New Roman"/>
          <w:sz w:val="28"/>
          <w:szCs w:val="28"/>
          <w:lang w:eastAsia="pl-PL"/>
        </w:rPr>
      </w:pPr>
      <w:r>
        <w:rPr>
          <w:rFonts w:ascii="Times New Roman" w:hAnsi="Times New Roman" w:eastAsia="Times New Roman" w:cs="Times New Roman"/>
          <w:sz w:val="28"/>
          <w:szCs w:val="28"/>
          <w:lang w:eastAsia="pl-PL"/>
        </w:rPr>
        <w:t xml:space="preserve">Петербургский Государственный Университет Путей Сообщения </w:t>
      </w:r>
    </w:p>
    <w:p>
      <w:pPr>
        <w:spacing w:after="0" w:line="360" w:lineRule="auto"/>
        <w:jc w:val="right"/>
        <w:rPr>
          <w:rFonts w:ascii="Times New Roman" w:hAnsi="Times New Roman" w:eastAsia="Times New Roman" w:cs="Times New Roman"/>
          <w:sz w:val="28"/>
          <w:szCs w:val="28"/>
          <w:lang w:val="pl-PL" w:eastAsia="pl-PL"/>
        </w:rPr>
      </w:pPr>
      <w:r>
        <w:rPr>
          <w:rFonts w:ascii="Times New Roman" w:hAnsi="Times New Roman" w:eastAsia="Times New Roman" w:cs="Times New Roman"/>
          <w:sz w:val="28"/>
          <w:szCs w:val="28"/>
          <w:lang w:eastAsia="pl-PL"/>
        </w:rPr>
        <w:t xml:space="preserve">Императора Александра </w:t>
      </w:r>
      <w:r>
        <w:rPr>
          <w:rFonts w:ascii="Times New Roman" w:hAnsi="Times New Roman" w:eastAsia="Times New Roman" w:cs="Times New Roman"/>
          <w:sz w:val="28"/>
          <w:szCs w:val="28"/>
          <w:lang w:val="en-US" w:eastAsia="pl-PL"/>
        </w:rPr>
        <w:t>I</w:t>
      </w:r>
    </w:p>
    <w:p>
      <w:pPr>
        <w:spacing w:after="0" w:line="360" w:lineRule="auto"/>
        <w:jc w:val="right"/>
        <w:rPr>
          <w:rFonts w:ascii="Times New Roman" w:hAnsi="Times New Roman" w:eastAsia="Times New Roman" w:cs="Times New Roman"/>
          <w:sz w:val="28"/>
          <w:szCs w:val="28"/>
          <w:lang w:val="pl-PL" w:eastAsia="pl-PL"/>
        </w:rPr>
      </w:pPr>
      <w:r>
        <w:rPr>
          <w:rFonts w:ascii="Times New Roman" w:hAnsi="Times New Roman" w:eastAsia="Times New Roman" w:cs="Times New Roman"/>
          <w:sz w:val="28"/>
          <w:szCs w:val="28"/>
          <w:lang w:val="pl-PL" w:eastAsia="pl-PL"/>
        </w:rPr>
        <w:t xml:space="preserve"> Санкт-Петербург, Россия</w:t>
      </w:r>
    </w:p>
    <w:p>
      <w:pPr>
        <w:spacing w:after="0" w:line="360" w:lineRule="auto"/>
        <w:jc w:val="right"/>
        <w:rPr>
          <w:rFonts w:ascii="Times New Roman" w:hAnsi="Times New Roman" w:eastAsia="Times New Roman" w:cs="Times New Roman"/>
          <w:sz w:val="28"/>
          <w:szCs w:val="28"/>
          <w:lang w:eastAsia="pl-PL"/>
        </w:rPr>
      </w:pPr>
      <w:r>
        <w:rPr>
          <w:rFonts w:ascii="Times New Roman" w:hAnsi="Times New Roman" w:eastAsia="Times New Roman" w:cs="Times New Roman"/>
          <w:sz w:val="28"/>
          <w:szCs w:val="28"/>
          <w:lang w:eastAsia="pl-PL"/>
        </w:rPr>
        <w:t>*</w:t>
      </w:r>
      <w:r>
        <w:rPr>
          <w:rFonts w:ascii="Times New Roman" w:hAnsi="Times New Roman"/>
          <w:sz w:val="28"/>
          <w:szCs w:val="28"/>
        </w:rPr>
        <w:t>к.т.н., доцент</w:t>
      </w:r>
    </w:p>
    <w:p>
      <w:pPr>
        <w:spacing w:after="0" w:line="360" w:lineRule="auto"/>
        <w:jc w:val="right"/>
        <w:rPr>
          <w:rFonts w:ascii="Times New Roman" w:hAnsi="Times New Roman" w:eastAsia="Times New Roman" w:cs="Times New Roman"/>
          <w:sz w:val="28"/>
          <w:szCs w:val="28"/>
          <w:lang w:eastAsia="pl-PL"/>
        </w:rPr>
      </w:pPr>
      <w:r>
        <w:rPr>
          <w:rFonts w:ascii="Times New Roman" w:hAnsi="Times New Roman" w:eastAsia="Times New Roman" w:cs="Times New Roman"/>
          <w:sz w:val="28"/>
          <w:szCs w:val="28"/>
          <w:lang w:eastAsia="pl-PL"/>
        </w:rPr>
        <w:t xml:space="preserve">** студент </w:t>
      </w:r>
    </w:p>
    <w:p>
      <w:pPr>
        <w:spacing w:after="0" w:line="360" w:lineRule="auto"/>
        <w:jc w:val="right"/>
        <w:rPr>
          <w:rFonts w:ascii="Times New Roman" w:hAnsi="Times New Roman" w:eastAsia="Times New Roman" w:cs="Times New Roman"/>
          <w:sz w:val="28"/>
          <w:szCs w:val="28"/>
          <w:lang w:eastAsia="pl-PL"/>
        </w:rPr>
      </w:pPr>
    </w:p>
    <w:p>
      <w:pPr>
        <w:pStyle w:val="2"/>
        <w:spacing w:before="0" w:line="360" w:lineRule="auto"/>
        <w:jc w:val="center"/>
        <w:rPr>
          <w:rFonts w:ascii="Times New Roman" w:hAnsi="Times New Roman"/>
          <w:b/>
          <w:sz w:val="28"/>
          <w:szCs w:val="28"/>
        </w:rPr>
      </w:pPr>
      <w:bookmarkStart w:id="9" w:name="_Toc37266317"/>
      <w:r>
        <w:rPr>
          <w:rFonts w:ascii="Times New Roman" w:hAnsi="Times New Roman"/>
          <w:b/>
          <w:color w:val="auto"/>
          <w:sz w:val="28"/>
          <w:szCs w:val="28"/>
        </w:rPr>
        <w:t>СОВЕРШЕНСТВАНИЕ ПОГРУЗОЧНО-РАЗГРУЗОЧНЫХ ПРОЦЕССОВ ПУТЕМ КОМПЛЕКСНОЙ МЕХАНИЗАЦИИ И АВТОМАТИЗАЦИИ РАБОТ НА ПРИМЕРЕ ГТС ШУШАРЫ</w:t>
      </w:r>
      <w:bookmarkEnd w:id="9"/>
    </w:p>
    <w:p>
      <w:pPr>
        <w:spacing w:after="0" w:line="360" w:lineRule="auto"/>
        <w:ind w:firstLine="709"/>
        <w:jc w:val="right"/>
        <w:rPr>
          <w:rFonts w:ascii="Times New Roman" w:hAnsi="Times New Roman" w:eastAsia="Times New Roman" w:cs="Times New Roman"/>
          <w:b/>
          <w:sz w:val="28"/>
          <w:szCs w:val="28"/>
          <w:lang w:val="pl-PL" w:eastAsia="pl-PL"/>
        </w:rPr>
      </w:pPr>
    </w:p>
    <w:p>
      <w:pPr>
        <w:spacing w:after="0" w:line="360" w:lineRule="auto"/>
        <w:ind w:firstLine="709"/>
        <w:jc w:val="both"/>
        <w:rPr>
          <w:rFonts w:ascii="Times New Roman" w:hAnsi="Times New Roman" w:eastAsia="Times New Roman" w:cs="Times New Roman"/>
          <w:iCs/>
          <w:sz w:val="28"/>
          <w:szCs w:val="28"/>
          <w:lang w:eastAsia="pl-PL"/>
        </w:rPr>
      </w:pPr>
      <w:r>
        <w:rPr>
          <w:rFonts w:ascii="Times New Roman" w:hAnsi="Times New Roman" w:eastAsia="Times New Roman" w:cs="Times New Roman"/>
          <w:b/>
          <w:sz w:val="28"/>
          <w:szCs w:val="28"/>
          <w:lang w:val="pl-PL" w:eastAsia="pl-PL"/>
        </w:rPr>
        <w:t xml:space="preserve">Аннотация: </w:t>
      </w:r>
      <w:r>
        <w:rPr>
          <w:rFonts w:ascii="Times New Roman" w:hAnsi="Times New Roman" w:eastAsia="Times New Roman" w:cs="Times New Roman"/>
          <w:iCs/>
          <w:sz w:val="28"/>
          <w:szCs w:val="28"/>
          <w:lang w:val="pl-PL" w:eastAsia="pl-PL"/>
        </w:rPr>
        <w:t xml:space="preserve">Статья посвящена </w:t>
      </w:r>
      <w:r>
        <w:rPr>
          <w:rFonts w:ascii="Times New Roman" w:hAnsi="Times New Roman" w:eastAsia="Times New Roman" w:cs="Times New Roman"/>
          <w:iCs/>
          <w:sz w:val="28"/>
          <w:szCs w:val="28"/>
          <w:lang w:eastAsia="pl-PL"/>
        </w:rPr>
        <w:t>совершенствованию погрузочно-разгрузочных процессов на железнодорожном транспорте. Описаны преимущества автоматизации погрузочно-разгрузочных работ над комплексной механизацией. Также рассмотрены примеры автоматизации различных машин при осуществлении погрузочно-разгрузочных работ на примере ГТС Шушары</w:t>
      </w:r>
    </w:p>
    <w:p>
      <w:pPr>
        <w:spacing w:after="0" w:line="360" w:lineRule="auto"/>
        <w:ind w:firstLine="709"/>
        <w:jc w:val="both"/>
        <w:rPr>
          <w:rFonts w:ascii="Times New Roman" w:hAnsi="Times New Roman" w:eastAsia="Times New Roman" w:cs="Times New Roman"/>
          <w:sz w:val="28"/>
          <w:szCs w:val="28"/>
          <w:lang w:eastAsia="pl-PL"/>
        </w:rPr>
      </w:pPr>
      <w:r>
        <w:rPr>
          <w:rFonts w:ascii="Times New Roman" w:hAnsi="Times New Roman" w:eastAsia="Times New Roman" w:cs="Times New Roman"/>
          <w:b/>
          <w:sz w:val="28"/>
          <w:szCs w:val="28"/>
          <w:lang w:val="pl-PL" w:eastAsia="pl-PL"/>
        </w:rPr>
        <w:t>Ключевые слова</w:t>
      </w:r>
      <w:r>
        <w:rPr>
          <w:rFonts w:ascii="Times New Roman" w:hAnsi="Times New Roman" w:eastAsia="Times New Roman" w:cs="Times New Roman"/>
          <w:sz w:val="28"/>
          <w:szCs w:val="28"/>
          <w:lang w:val="pl-PL" w:eastAsia="pl-PL"/>
        </w:rPr>
        <w:t xml:space="preserve">: </w:t>
      </w:r>
      <w:r>
        <w:rPr>
          <w:rFonts w:ascii="Times New Roman" w:hAnsi="Times New Roman" w:eastAsia="Times New Roman" w:cs="Times New Roman"/>
          <w:sz w:val="28"/>
          <w:szCs w:val="28"/>
          <w:lang w:eastAsia="pl-PL"/>
        </w:rPr>
        <w:t>погрузочно-разгрузочные работы, комплексная механизация, автоматизация, ГТС Шушары.</w:t>
      </w:r>
    </w:p>
    <w:p>
      <w:pPr>
        <w:spacing w:after="0" w:line="360" w:lineRule="auto"/>
        <w:ind w:firstLine="709"/>
        <w:jc w:val="both"/>
        <w:rPr>
          <w:rFonts w:ascii="Times New Roman" w:hAnsi="Times New Roman" w:eastAsia="Times New Roman" w:cs="Times New Roman"/>
          <w:sz w:val="28"/>
          <w:szCs w:val="28"/>
          <w:lang w:eastAsia="pl-PL"/>
        </w:rPr>
      </w:pPr>
    </w:p>
    <w:p>
      <w:pPr>
        <w:spacing w:after="0" w:line="360" w:lineRule="auto"/>
        <w:ind w:firstLine="709"/>
        <w:jc w:val="both"/>
        <w:rPr>
          <w:rFonts w:ascii="Times New Roman" w:hAnsi="Times New Roman" w:eastAsia="Times New Roman" w:cs="Times New Roman"/>
          <w:sz w:val="28"/>
          <w:szCs w:val="28"/>
          <w:lang w:eastAsia="pl-PL"/>
        </w:rPr>
      </w:pPr>
      <w:r>
        <w:rPr>
          <w:rFonts w:ascii="Times New Roman" w:hAnsi="Times New Roman" w:eastAsia="Times New Roman" w:cs="Times New Roman"/>
          <w:sz w:val="28"/>
          <w:szCs w:val="28"/>
          <w:lang w:eastAsia="pl-PL"/>
        </w:rPr>
        <w:t xml:space="preserve">Развитие железнодорожного транспорта, согласно Программной структурной реформе на железнодорожном транспорте, которая утверждена постановлением Правительства Российской Федерации от 21 мая 2001 г. №384, должно обеспечивать, в первую очередь, улучшение качества транспортного обслуживания, повышения эффективности перевозок груза, инфраструктуры дорог и совершенствование технологий мультимодальных перевозок. Все эти требования можно связать одним – необходимостью совершенствования погрузочно-разгрузочных работ на железной дороге [1]. </w:t>
      </w:r>
    </w:p>
    <w:p>
      <w:pPr>
        <w:spacing w:after="0" w:line="360" w:lineRule="auto"/>
        <w:ind w:firstLine="709"/>
        <w:jc w:val="both"/>
        <w:rPr>
          <w:rFonts w:ascii="Times New Roman" w:hAnsi="Times New Roman" w:cs="Times New Roman"/>
          <w:sz w:val="28"/>
          <w:szCs w:val="28"/>
        </w:rPr>
      </w:pPr>
      <w:r>
        <w:rPr>
          <w:rFonts w:ascii="Times New Roman" w:hAnsi="Times New Roman" w:eastAsia="Times New Roman" w:cs="Times New Roman"/>
          <w:sz w:val="28"/>
          <w:szCs w:val="28"/>
          <w:lang w:eastAsia="pl-PL"/>
        </w:rPr>
        <w:t xml:space="preserve">Комплексная механизация погрузочно-разгрузочных работ на железнодорожном транспорте помогает минимизировать использования человеческого труда при перегрузке груза, но не помогает освободить от ручных и логических операций, которые связаны с управлением различных машин. Именно такие операции являются монотонными и крайне утомляют человека, что сказывается на снижении производительности к концу смены. </w:t>
      </w:r>
      <w:r>
        <w:rPr>
          <w:rFonts w:ascii="Times New Roman" w:hAnsi="Times New Roman" w:cs="Times New Roman"/>
          <w:sz w:val="28"/>
          <w:szCs w:val="28"/>
        </w:rPr>
        <w:t>Что касается механизированных комплексов, включающих в себя различные машины и устройства, то они требуют постоянного согласования и поддержания определенного режима.</w:t>
      </w:r>
      <w:r>
        <w:t xml:space="preserve"> </w:t>
      </w:r>
      <w:r>
        <w:rPr>
          <w:rFonts w:ascii="Times New Roman" w:hAnsi="Times New Roman" w:cs="Times New Roman"/>
          <w:sz w:val="28"/>
          <w:szCs w:val="28"/>
        </w:rPr>
        <w:t>Если говорить о ручном управлении, то оно весьма затруднительно, т.к. требуется большое количество персонала.</w:t>
      </w:r>
      <w:r>
        <w:t xml:space="preserve">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Большое преимущество в совершенствовании погрузочно-разгрузочных работ получила их автоматизация. Она позволяет: повысить производительность; улучшить условия труда; обеспечить оптимизацию перегрузочных процессов; повысить сохранность грузов; снизить себестоимость переработки. Развитие автоматизации идет через автоматизацию работы отдельных механизмов, машин, комплексов и в целом схемы.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ГТС Шушары применяется в основном частичная автоматизация кранами, дистанционное управление трюмными и вагонными машинами [2]. При автоматизации осуществляются: автоматическое управление перегрузочными машинами; контроль и регулирование работы механизмов; автоматическая блокировка и защита механизмов от перегрузки, неправильного включения и аварий; сигнализация и теленаблюдение за работой машин и оборудования; автоматический учет произведенной работы. Для автоматизации управления машинами циклического действия (краны) применяют следующие системы автоматического управления: частичная автоматизация. Автоматизируются операции разгона торможения электроприводов механизмов крана; выполнение по программе отдельных циклов; выполнение по программе группы циклов; программированное выполнение операций по полной обработке транспортных средств. Также намного проще автоматизировать работу машин, не выполняющих вращательные движения (козловой кран). Грузозахватные устройства должны быть автоматическими (застропка без участия человека позволяет сэкономить время). На станции застропка происходит с участием человека, поэтому необходимо отдать предпочтение автоматическим грузозахватным устройствам. Также стоит отметить, что некоторые работы являются механизированными, что значительно увеличивает время простоя вагонов под грузовыми операциями и увеличение времени на ПРР. Согласно ведомости погрузочно-разгрузочных работ на ГТС Шушары, автоматизация процессов составляет 33%, а механизация 67% [2].</w:t>
      </w:r>
    </w:p>
    <w:p>
      <w:pPr>
        <w:spacing w:after="0" w:line="360" w:lineRule="auto"/>
        <w:ind w:firstLine="709"/>
        <w:jc w:val="both"/>
        <w:rPr>
          <w:rFonts w:ascii="Times New Roman" w:hAnsi="Times New Roman" w:cs="Times New Roman"/>
          <w:sz w:val="28"/>
          <w:szCs w:val="28"/>
        </w:rPr>
      </w:pPr>
    </w:p>
    <w:p>
      <w:pPr>
        <w:spacing w:after="0" w:line="360" w:lineRule="auto"/>
        <w:ind w:firstLine="709"/>
        <w:jc w:val="both"/>
        <w:rPr>
          <w:rFonts w:ascii="Times New Roman" w:hAnsi="Times New Roman" w:cs="Times New Roman"/>
          <w:sz w:val="28"/>
          <w:szCs w:val="28"/>
        </w:rPr>
      </w:pPr>
      <w:r>
        <w:rPr>
          <w:lang w:eastAsia="ru-RU"/>
        </w:rPr>
        <w:drawing>
          <wp:inline distT="0" distB="0" distL="0" distR="0">
            <wp:extent cx="4695825" cy="3006725"/>
            <wp:effectExtent l="0" t="0" r="9525" b="222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 – Процент механизации и автоматизации ПРР на ГТС Шушары на 2020 год.</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Автоматизация эффективна при больших и устойчивых грузопотоках, таких как на ГТС Шушары. В первую очередь должны автоматизироваться перегрузочные работы, которые вредны и опасны для здоровья людей и там, где управление машинами может вызвать психические перегрузки человека.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Грузовой двор ГТС Шушары включает в себя три высокие грузовые площадки для КТК, оснащенные козловыми кранами, две расширенные площадки, для КТК оснащенные также козловыми кранами, открытая площадка и ангар для тарно-штучных грузов, где работу осуществляют малогабаритные дизельные погрузчики </w:t>
      </w:r>
      <w:r>
        <w:rPr>
          <w:rFonts w:ascii="Times New Roman" w:hAnsi="Times New Roman" w:cs="Times New Roman"/>
          <w:sz w:val="28"/>
          <w:szCs w:val="28"/>
          <w:lang w:val="en-US"/>
        </w:rPr>
        <w:t>Toyota</w:t>
      </w:r>
      <w:r>
        <w:rPr>
          <w:rFonts w:ascii="Times New Roman" w:hAnsi="Times New Roman" w:cs="Times New Roman"/>
          <w:sz w:val="28"/>
          <w:szCs w:val="28"/>
        </w:rPr>
        <w:t>, и две контейнерные площадки для КТК с работающими на них контейнерными перегружателеми Кальмар. Классификация грузов, их объем и средства механизации или автоматизации при погрузочно-разгрузочных работах сведены в таблицу 1.</w:t>
      </w:r>
    </w:p>
    <w:p>
      <w:pPr>
        <w:spacing w:after="0" w:line="360" w:lineRule="auto"/>
        <w:ind w:firstLine="709"/>
        <w:jc w:val="both"/>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1 – Классификация перерабатываемых грузов на ГТС Шушары</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Виды </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перерабатываемых грузов</w:t>
            </w:r>
          </w:p>
        </w:tc>
        <w:tc>
          <w:tcPr>
            <w:tcW w:w="3190"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Средства механизации</w:t>
            </w:r>
            <w:r>
              <w:rPr>
                <w:rFonts w:ascii="Times New Roman" w:hAnsi="Times New Roman" w:cs="Times New Roman"/>
                <w:sz w:val="24"/>
                <w:szCs w:val="24"/>
                <w:lang w:val="en-US"/>
              </w:rPr>
              <w:t>/</w:t>
            </w:r>
            <w:r>
              <w:rPr>
                <w:rFonts w:ascii="Times New Roman" w:hAnsi="Times New Roman" w:cs="Times New Roman"/>
                <w:sz w:val="24"/>
                <w:szCs w:val="24"/>
              </w:rPr>
              <w:t>автоматизации</w:t>
            </w:r>
          </w:p>
        </w:tc>
        <w:tc>
          <w:tcPr>
            <w:tcW w:w="3191"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Объем перерабатываемых грузов, ваг./сут.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Контейнеры (груженые удобрениями или порожние)</w:t>
            </w:r>
          </w:p>
        </w:tc>
        <w:tc>
          <w:tcPr>
            <w:tcW w:w="31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Погрузчики Кальмар, козловые краны</w:t>
            </w:r>
          </w:p>
        </w:tc>
        <w:tc>
          <w:tcPr>
            <w:tcW w:w="3191"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Контейнеры (опасные грузы)</w:t>
            </w:r>
          </w:p>
        </w:tc>
        <w:tc>
          <w:tcPr>
            <w:tcW w:w="31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Элеватор </w:t>
            </w:r>
          </w:p>
        </w:tc>
        <w:tc>
          <w:tcPr>
            <w:tcW w:w="3191"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Тарно-штучные грузы</w:t>
            </w:r>
          </w:p>
        </w:tc>
        <w:tc>
          <w:tcPr>
            <w:tcW w:w="3190" w:type="dxa"/>
          </w:tcPr>
          <w:p>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Малогабаритные погрузчики </w:t>
            </w:r>
            <w:r>
              <w:rPr>
                <w:rFonts w:ascii="Times New Roman" w:hAnsi="Times New Roman" w:cs="Times New Roman"/>
                <w:sz w:val="24"/>
                <w:szCs w:val="24"/>
                <w:lang w:val="en-US"/>
              </w:rPr>
              <w:t>Toyota</w:t>
            </w:r>
          </w:p>
        </w:tc>
        <w:tc>
          <w:tcPr>
            <w:tcW w:w="3191"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1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Тяжеловесные</w:t>
            </w:r>
          </w:p>
        </w:tc>
        <w:tc>
          <w:tcPr>
            <w:tcW w:w="31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Козловые краны</w:t>
            </w:r>
          </w:p>
        </w:tc>
        <w:tc>
          <w:tcPr>
            <w:tcW w:w="3191"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Навалочные грузы в хопперах</w:t>
            </w:r>
          </w:p>
        </w:tc>
        <w:tc>
          <w:tcPr>
            <w:tcW w:w="31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Бункеры</w:t>
            </w:r>
          </w:p>
        </w:tc>
        <w:tc>
          <w:tcPr>
            <w:tcW w:w="3191"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pPr>
        <w:spacing w:after="0" w:line="360" w:lineRule="auto"/>
        <w:ind w:firstLine="709"/>
        <w:jc w:val="both"/>
        <w:rPr>
          <w:rFonts w:ascii="Times New Roman" w:hAnsi="Times New Roman" w:cs="Times New Roman"/>
          <w:i/>
          <w:color w:val="FF0000"/>
          <w:sz w:val="20"/>
          <w:szCs w:val="20"/>
        </w:rPr>
      </w:pP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на станции козловой кран №144, расположенный на контейнерной площадке, является одноконсольным, работающим только на погрузку/разгрузку машин и не предусмотрен для выезда на железнодорожные пути [2]. Для увеличения грузопереработки необходимо заменить козловой кран на другой, который сможет осуществлять погрузочно-разгрузочные работы с вагонами. Благодаря этому освободятся Кальмары (контейнерные перегружатели) и появится прямой вариант перегрузки контейнеров с вагона на машину. Это позволит автоматизировать процесс перегрузки груза, следовательно, сократить время простоя, т.к. к концу смены водители погрузчиков снижают свою производительность из-за усталости и монотонности процессов, а также увеличить число перерабатываемых вагонов в 1,5 раза (переработка контейнеров составит около 186 ваг./сут.).</w:t>
      </w:r>
    </w:p>
    <w:p>
      <w:pPr>
        <w:spacing w:after="0" w:line="360" w:lineRule="auto"/>
        <w:ind w:firstLine="709"/>
        <w:jc w:val="both"/>
      </w:pPr>
      <w:r>
        <w:rPr>
          <w:rFonts w:ascii="Times New Roman" w:hAnsi="Times New Roman" w:cs="Times New Roman"/>
          <w:sz w:val="28"/>
          <w:szCs w:val="28"/>
        </w:rPr>
        <w:t xml:space="preserve">Как описывалось выше, на территории ГТС Шушары также расположено здание ангара, в адрес которого поступают тарно-штучные грузы. В ангаре происходит погрузка и выгрузка груза малогабаритными дизельными погрузчиками </w:t>
      </w:r>
      <w:r>
        <w:rPr>
          <w:rFonts w:ascii="Times New Roman" w:hAnsi="Times New Roman" w:cs="Times New Roman"/>
          <w:sz w:val="28"/>
          <w:szCs w:val="28"/>
          <w:lang w:val="en-US"/>
        </w:rPr>
        <w:t>Toyota</w:t>
      </w:r>
      <w:r>
        <w:rPr>
          <w:rFonts w:ascii="Times New Roman" w:hAnsi="Times New Roman" w:cs="Times New Roman"/>
          <w:sz w:val="28"/>
          <w:szCs w:val="28"/>
        </w:rPr>
        <w:t>, находящимися в собственности у ООО «Восход». ГТС Шушары арендует погрузчики, поэтому существует зависимость в оплате аренды и в часах работы, которые устанавливает ООО «Восход». Стоит  отметить, что в настоящее время существуют системы, позволяющие автоматизировать процесс управления передвижением тягачей и электротележек, а для выполнения отдельных операций на перегрузочных работах используются роботы и манипуляторы[5].</w:t>
      </w:r>
      <w:r>
        <w:t xml:space="preserve"> </w:t>
      </w:r>
      <w:r>
        <w:rPr>
          <w:rFonts w:ascii="Times New Roman" w:hAnsi="Times New Roman" w:cs="Times New Roman"/>
          <w:sz w:val="28"/>
          <w:szCs w:val="28"/>
        </w:rPr>
        <w:t xml:space="preserve">Применение таких средств может позволить автоматизировать работу на ГТС Шушары, а значит позволит сократить расходы на аренду погрузчиков, которые принадлежат ООО «Восход», следовательно, количество перерабатываемых грузов возрастет (расходы на закупку окупятся полученными доходами) [2].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сделать вывод, что в настоящее время существует острая необходимость в совершенствовании погрузочно-разгрузочных процессов на железнодорожном транспорте для достижения эффективности перегрузки и перевозки груза, сокращения времени на обработку и на погрузочно-разгрузочные операции. Необходимо добиться автоматизации различных процессов, касающихся перегрузки груза для уменьшения различных затрат, связанных с использованием старой техники и ручного труда, а так же для увеличения объема грузопереработки. </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rPr>
        <w:t>Библиографический список</w:t>
      </w:r>
    </w:p>
    <w:p>
      <w:pPr>
        <w:pStyle w:val="25"/>
        <w:spacing w:after="0" w:line="360" w:lineRule="auto"/>
        <w:ind w:left="1211"/>
        <w:rPr>
          <w:rFonts w:ascii="Times New Roman" w:hAnsi="Times New Roman" w:cs="Times New Roman"/>
          <w:sz w:val="28"/>
          <w:szCs w:val="28"/>
          <w:lang w:val="en-US"/>
        </w:rPr>
      </w:pPr>
    </w:p>
    <w:p>
      <w:pPr>
        <w:numPr>
          <w:ilvl w:val="0"/>
          <w:numId w:val="6"/>
        </w:numPr>
        <w:spacing w:after="0" w:line="360" w:lineRule="auto"/>
        <w:ind w:left="0" w:firstLine="709"/>
        <w:contextualSpacing/>
        <w:jc w:val="both"/>
        <w:rPr>
          <w:rFonts w:ascii="Times New Roman" w:hAnsi="Times New Roman" w:eastAsia="Times New Roman" w:cs="Times New Roman"/>
          <w:sz w:val="28"/>
          <w:szCs w:val="28"/>
          <w:lang w:val="pl-PL" w:eastAsia="ru-RU"/>
        </w:rPr>
      </w:pPr>
      <w:r>
        <w:rPr>
          <w:rFonts w:ascii="Times New Roman" w:hAnsi="Times New Roman" w:eastAsia="Times New Roman" w:cs="Times New Roman"/>
          <w:sz w:val="28"/>
          <w:szCs w:val="28"/>
          <w:lang w:eastAsia="ru-RU"/>
        </w:rPr>
        <w:t xml:space="preserve">Консультант плюс &lt;Электронный ресурс&gt;.-Код доступа: </w:t>
      </w:r>
      <w:r>
        <w:rPr>
          <w:rFonts w:ascii="Times New Roman" w:hAnsi="Times New Roman" w:cs="Times New Roman"/>
          <w:color w:val="000000" w:themeColor="text1"/>
          <w:sz w:val="28"/>
          <w:szCs w:val="28"/>
          <w14:textFill>
            <w14:solidFill>
              <w14:schemeClr w14:val="tx1"/>
            </w14:solidFill>
          </w14:textFill>
        </w:rPr>
        <w:t>http://www.consultant.ru/document/cons_doc_LAW_31692/</w:t>
      </w:r>
    </w:p>
    <w:p>
      <w:pPr>
        <w:numPr>
          <w:ilvl w:val="0"/>
          <w:numId w:val="6"/>
        </w:numPr>
        <w:spacing w:after="0" w:line="360" w:lineRule="auto"/>
        <w:ind w:left="0"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Технологический процесс Городской товарной станции Шушары – СПб, 2014. - 96 с.</w:t>
      </w:r>
    </w:p>
    <w:p>
      <w:pPr>
        <w:numPr>
          <w:ilvl w:val="0"/>
          <w:numId w:val="6"/>
        </w:numPr>
        <w:spacing w:after="0" w:line="360" w:lineRule="auto"/>
        <w:ind w:left="0" w:firstLine="709"/>
        <w:contextualSpacing/>
        <w:jc w:val="both"/>
        <w:rPr>
          <w:rFonts w:ascii="Times New Roman" w:hAnsi="Times New Roman" w:eastAsia="Times New Roman" w:cs="Times New Roman"/>
          <w:sz w:val="28"/>
          <w:szCs w:val="28"/>
          <w:lang w:val="pl-PL" w:eastAsia="ru-RU"/>
        </w:rPr>
      </w:pPr>
      <w:r>
        <w:rPr>
          <w:rFonts w:ascii="Times New Roman" w:hAnsi="Times New Roman" w:eastAsia="Times New Roman" w:cs="Times New Roman"/>
          <w:sz w:val="28"/>
          <w:szCs w:val="28"/>
          <w:lang w:eastAsia="ru-RU"/>
        </w:rPr>
        <w:t xml:space="preserve">О.Б. Маликов </w:t>
      </w:r>
      <w:r>
        <w:rPr>
          <w:rFonts w:ascii="Times New Roman" w:hAnsi="Times New Roman" w:eastAsia="Times New Roman" w:cs="Times New Roman"/>
          <w:sz w:val="28"/>
          <w:szCs w:val="28"/>
          <w:lang w:val="pl-PL" w:eastAsia="ru-RU"/>
        </w:rPr>
        <w:t xml:space="preserve">// </w:t>
      </w:r>
      <w:r>
        <w:rPr>
          <w:rFonts w:ascii="Times New Roman" w:hAnsi="Times New Roman" w:eastAsia="Times New Roman" w:cs="Times New Roman"/>
          <w:sz w:val="28"/>
          <w:szCs w:val="28"/>
          <w:lang w:eastAsia="ru-RU"/>
        </w:rPr>
        <w:t>О.Б. Маликов.</w:t>
      </w:r>
      <w:r>
        <w:rPr>
          <w:rFonts w:ascii="Times New Roman" w:hAnsi="Times New Roman" w:eastAsia="Times New Roman" w:cs="Times New Roman"/>
          <w:sz w:val="28"/>
          <w:szCs w:val="28"/>
          <w:lang w:val="pl-PL" w:eastAsia="ru-RU"/>
        </w:rPr>
        <w:t xml:space="preserve"> </w:t>
      </w:r>
      <w:r>
        <w:rPr>
          <w:rFonts w:ascii="Times New Roman" w:hAnsi="Times New Roman" w:eastAsia="Times New Roman" w:cs="Times New Roman"/>
          <w:sz w:val="28"/>
          <w:szCs w:val="28"/>
          <w:lang w:eastAsia="ru-RU"/>
        </w:rPr>
        <w:t>Склады и грузовые терминалы.</w:t>
      </w:r>
      <w:r>
        <w:rPr>
          <w:rFonts w:ascii="Times New Roman" w:hAnsi="Times New Roman" w:eastAsia="Times New Roman" w:cs="Times New Roman"/>
          <w:sz w:val="28"/>
          <w:szCs w:val="28"/>
          <w:lang w:val="pl-PL" w:eastAsia="ru-RU"/>
        </w:rPr>
        <w:t xml:space="preserve"> – </w:t>
      </w:r>
      <w:r>
        <w:rPr>
          <w:rFonts w:ascii="Times New Roman" w:hAnsi="Times New Roman" w:eastAsia="Times New Roman" w:cs="Times New Roman"/>
          <w:sz w:val="28"/>
          <w:szCs w:val="28"/>
          <w:lang w:eastAsia="ru-RU"/>
        </w:rPr>
        <w:t>СПб</w:t>
      </w:r>
      <w:r>
        <w:rPr>
          <w:rFonts w:ascii="Times New Roman" w:hAnsi="Times New Roman" w:eastAsia="Times New Roman" w:cs="Times New Roman"/>
          <w:sz w:val="28"/>
          <w:szCs w:val="28"/>
          <w:lang w:val="pl-PL" w:eastAsia="ru-RU"/>
        </w:rPr>
        <w:t>.: «</w:t>
      </w:r>
      <w:r>
        <w:rPr>
          <w:rFonts w:ascii="Times New Roman" w:hAnsi="Times New Roman" w:eastAsia="Times New Roman" w:cs="Times New Roman"/>
          <w:sz w:val="28"/>
          <w:szCs w:val="28"/>
          <w:lang w:eastAsia="ru-RU"/>
        </w:rPr>
        <w:t>Бизнес-пресса</w:t>
      </w:r>
      <w:r>
        <w:rPr>
          <w:rFonts w:ascii="Times New Roman" w:hAnsi="Times New Roman" w:eastAsia="Times New Roman" w:cs="Times New Roman"/>
          <w:sz w:val="28"/>
          <w:szCs w:val="28"/>
          <w:lang w:val="pl-PL" w:eastAsia="ru-RU"/>
        </w:rPr>
        <w:t xml:space="preserve">», </w:t>
      </w:r>
      <w:r>
        <w:rPr>
          <w:rFonts w:ascii="Times New Roman" w:hAnsi="Times New Roman" w:eastAsia="Times New Roman" w:cs="Times New Roman"/>
          <w:sz w:val="28"/>
          <w:szCs w:val="28"/>
          <w:lang w:eastAsia="ru-RU"/>
        </w:rPr>
        <w:t>2005</w:t>
      </w:r>
      <w:r>
        <w:rPr>
          <w:rFonts w:ascii="Times New Roman" w:hAnsi="Times New Roman" w:eastAsia="Times New Roman" w:cs="Times New Roman"/>
          <w:sz w:val="28"/>
          <w:szCs w:val="28"/>
          <w:lang w:val="pl-PL" w:eastAsia="ru-RU"/>
        </w:rPr>
        <w:t>. – С.</w:t>
      </w:r>
      <w:r>
        <w:rPr>
          <w:rFonts w:ascii="Times New Roman" w:hAnsi="Times New Roman" w:eastAsia="Times New Roman" w:cs="Times New Roman"/>
          <w:sz w:val="28"/>
          <w:szCs w:val="28"/>
          <w:lang w:eastAsia="ru-RU"/>
        </w:rPr>
        <w:t>56</w:t>
      </w:r>
      <w:r>
        <w:rPr>
          <w:rFonts w:ascii="Times New Roman" w:hAnsi="Times New Roman" w:eastAsia="Times New Roman" w:cs="Times New Roman"/>
          <w:sz w:val="28"/>
          <w:szCs w:val="28"/>
          <w:lang w:val="pl-PL" w:eastAsia="ru-RU"/>
        </w:rPr>
        <w:t>0.</w:t>
      </w:r>
    </w:p>
    <w:p>
      <w:pPr>
        <w:numPr>
          <w:ilvl w:val="0"/>
          <w:numId w:val="6"/>
        </w:numPr>
        <w:spacing w:after="0" w:line="36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Информационно-деловой портал по грузоперевозке «Транспортный бизнес» &lt;Электронный ресурс&gt;.-Код доступа: http://www.tnspb.ru/v-pomoshh-ehkspeditoru/stati-po-logistike-_stranica-2_/peregruzka-tovarov-i-gruzov-zheleznojj-dorogojj.html (дата обращения 04.03.2020)</w:t>
      </w:r>
    </w:p>
    <w:p>
      <w:pPr>
        <w:numPr>
          <w:ilvl w:val="0"/>
          <w:numId w:val="6"/>
        </w:numPr>
        <w:spacing w:after="0" w:line="360" w:lineRule="auto"/>
        <w:ind w:left="0" w:firstLine="709"/>
        <w:contextualSpacing/>
        <w:jc w:val="both"/>
        <w:rPr>
          <w:rFonts w:ascii="Times New Roman" w:hAnsi="Times New Roman" w:eastAsia="Times New Roman" w:cs="Times New Roman"/>
          <w:sz w:val="28"/>
          <w:szCs w:val="28"/>
          <w:lang w:val="pl-PL" w:eastAsia="ru-RU"/>
        </w:rPr>
      </w:pPr>
      <w:r>
        <w:rPr>
          <w:rFonts w:ascii="Times New Roman" w:hAnsi="Times New Roman" w:eastAsia="Times New Roman" w:cs="Times New Roman"/>
          <w:sz w:val="28"/>
          <w:szCs w:val="28"/>
          <w:lang w:val="en-US" w:eastAsia="ru-RU"/>
        </w:rPr>
        <w:t>Control</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Engineering</w:t>
      </w:r>
      <w:r>
        <w:rPr>
          <w:rFonts w:ascii="Times New Roman" w:hAnsi="Times New Roman" w:eastAsia="Times New Roman" w:cs="Times New Roman"/>
          <w:sz w:val="28"/>
          <w:szCs w:val="28"/>
          <w:lang w:eastAsia="ru-RU"/>
        </w:rPr>
        <w:t xml:space="preserve"> &lt;Электронный ресурс&gt;.-Код доступа: https://controlengrussia.com/avtomatizatsiya-zh-d-transporta/ (дата обращения  05.03.2020)</w:t>
      </w:r>
    </w:p>
    <w:p>
      <w:pPr>
        <w:spacing w:after="0" w:line="360" w:lineRule="auto"/>
        <w:rPr>
          <w:lang w:eastAsia="ru-RU"/>
        </w:rPr>
      </w:pPr>
      <w:r>
        <w:rPr>
          <w:rFonts w:ascii="Times New Roman" w:hAnsi="Times New Roman" w:eastAsia="Times New Roman" w:cs="Times New Roman"/>
          <w:sz w:val="28"/>
          <w:szCs w:val="28"/>
          <w:lang w:eastAsia="ru-RU"/>
        </w:rPr>
        <w:t>Учебные материалы &lt;Электронный ресурс&gt;.-Код доступа: https://works.doklad.ru/view/bKLXxWUQiNE.html (дата обращения  05.03.2020)</w:t>
      </w:r>
      <w:r>
        <w:rPr>
          <w:lang w:eastAsia="ru-RU"/>
        </w:rPr>
        <w:br w:type="page"/>
      </w:r>
    </w:p>
    <w:p>
      <w:pPr>
        <w:rPr>
          <w:rFonts w:ascii="Times New Roman" w:hAnsi="Times New Roman" w:eastAsia="Times New Roman" w:cs="Times New Roman"/>
          <w:sz w:val="28"/>
          <w:szCs w:val="28"/>
          <w:lang w:eastAsia="ru-RU"/>
        </w:rPr>
      </w:pPr>
    </w:p>
    <w:p>
      <w:pPr>
        <w:spacing w:after="0" w:line="360" w:lineRule="auto"/>
        <w:jc w:val="right"/>
        <w:rPr>
          <w:rFonts w:ascii="Times New Roman" w:hAnsi="Times New Roman" w:eastAsia="Calibri" w:cs="Times New Roman"/>
          <w:b/>
          <w:sz w:val="28"/>
          <w:szCs w:val="28"/>
        </w:rPr>
      </w:pPr>
      <w:r>
        <w:rPr>
          <w:rFonts w:ascii="Times New Roman" w:hAnsi="Times New Roman" w:eastAsia="Calibri" w:cs="Times New Roman"/>
          <w:b/>
          <w:sz w:val="28"/>
          <w:szCs w:val="28"/>
        </w:rPr>
        <w:t>Е.К. Коровяковский, Е.В. Солодкая</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Петербургский государственный университет путей сообщения императора Александра </w:t>
      </w:r>
      <w:r>
        <w:rPr>
          <w:rFonts w:ascii="Times New Roman" w:hAnsi="Times New Roman" w:eastAsia="Calibri" w:cs="Times New Roman"/>
          <w:sz w:val="28"/>
          <w:szCs w:val="28"/>
          <w:lang w:val="en-US"/>
        </w:rPr>
        <w:t>I</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 Санкт-Петербург, Россия</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к.т.н., доцент, </w:t>
      </w:r>
      <w:r>
        <w:rPr>
          <w:rFonts w:ascii="Times New Roman" w:hAnsi="Times New Roman" w:eastAsia="Calibri" w:cs="Times New Roman"/>
          <w:sz w:val="28"/>
          <w:szCs w:val="28"/>
          <w:shd w:val="clear" w:color="auto" w:fill="FFFFFF"/>
        </w:rPr>
        <w:t>и.о. заведующего кафедрой</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 студент </w:t>
      </w:r>
    </w:p>
    <w:p>
      <w:pPr>
        <w:spacing w:after="0" w:line="360" w:lineRule="auto"/>
        <w:jc w:val="center"/>
        <w:rPr>
          <w:rFonts w:ascii="Times New Roman" w:hAnsi="Times New Roman" w:eastAsia="Calibri" w:cs="Times New Roman"/>
          <w:b/>
          <w:bCs/>
          <w:sz w:val="28"/>
          <w:szCs w:val="28"/>
        </w:rPr>
      </w:pPr>
    </w:p>
    <w:p>
      <w:pPr>
        <w:pStyle w:val="2"/>
        <w:spacing w:before="0"/>
        <w:jc w:val="center"/>
        <w:rPr>
          <w:rFonts w:ascii="Times New Roman" w:hAnsi="Times New Roman" w:eastAsia="Calibri"/>
          <w:b/>
          <w:caps/>
          <w:color w:val="auto"/>
          <w:sz w:val="28"/>
          <w:szCs w:val="28"/>
        </w:rPr>
      </w:pPr>
      <w:bookmarkStart w:id="10" w:name="_Toc37266318"/>
      <w:r>
        <w:rPr>
          <w:rFonts w:ascii="Times New Roman" w:hAnsi="Times New Roman" w:eastAsia="Calibri"/>
          <w:b/>
          <w:caps/>
          <w:color w:val="auto"/>
          <w:sz w:val="28"/>
          <w:szCs w:val="28"/>
        </w:rPr>
        <w:t>Информационные технологии в логистике пассажирских перевозок</w:t>
      </w:r>
      <w:bookmarkEnd w:id="10"/>
    </w:p>
    <w:p>
      <w:pPr>
        <w:spacing w:after="0" w:line="360" w:lineRule="auto"/>
        <w:jc w:val="center"/>
        <w:rPr>
          <w:rFonts w:ascii="Times New Roman" w:hAnsi="Times New Roman" w:eastAsia="Calibri" w:cs="Times New Roman"/>
          <w:b/>
          <w:bCs/>
          <w:sz w:val="28"/>
          <w:szCs w:val="28"/>
        </w:rPr>
      </w:pP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b/>
          <w:bCs/>
          <w:sz w:val="28"/>
          <w:szCs w:val="28"/>
        </w:rPr>
        <w:tab/>
      </w:r>
      <w:r>
        <w:rPr>
          <w:rFonts w:ascii="Times New Roman" w:hAnsi="Times New Roman" w:eastAsia="Calibri" w:cs="Times New Roman"/>
          <w:b/>
          <w:bCs/>
          <w:sz w:val="28"/>
          <w:szCs w:val="28"/>
        </w:rPr>
        <w:t>Аннотация:</w:t>
      </w:r>
      <w:r>
        <w:rPr>
          <w:rFonts w:ascii="Times New Roman" w:hAnsi="Times New Roman" w:eastAsia="Calibri" w:cs="Times New Roman"/>
          <w:sz w:val="28"/>
          <w:szCs w:val="28"/>
        </w:rPr>
        <w:t xml:space="preserve"> статья посвящена рассмотрению роли информационных технологий в логистике пассажирских перевозок. В статье рассмотрены возможные пути развития информационных технологий в данной сфере, приведен пример успешной реализации подобного проекта.</w:t>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b/>
          <w:bCs/>
          <w:sz w:val="28"/>
          <w:szCs w:val="28"/>
        </w:rPr>
        <w:t xml:space="preserve">Ключевые слова: </w:t>
      </w:r>
      <w:r>
        <w:rPr>
          <w:rFonts w:ascii="Times New Roman" w:hAnsi="Times New Roman" w:eastAsia="Calibri" w:cs="Times New Roman"/>
          <w:sz w:val="28"/>
          <w:szCs w:val="28"/>
        </w:rPr>
        <w:t>информационные технологии, пассажирские перевозки, тарификация, алгоритм, транспорт.</w:t>
      </w:r>
    </w:p>
    <w:p>
      <w:pPr>
        <w:spacing w:after="0" w:line="360" w:lineRule="auto"/>
        <w:jc w:val="both"/>
        <w:rPr>
          <w:rFonts w:ascii="Times New Roman" w:hAnsi="Times New Roman" w:eastAsia="Calibri" w:cs="Times New Roman"/>
          <w:sz w:val="28"/>
          <w:szCs w:val="28"/>
        </w:rPr>
      </w:pP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 xml:space="preserve">Современный мир невозможно представить без информационных технологий, они проникли во все сферы жизнедеятельности человека. Информационные технологии не только избавляют человека от выполнения рутинных работ, но и облегчают принятие управленческих решений, ускоряют обработку информации, обеспечивают её надежное хранение и доступ к ней. Информационные технологии широко применяются во всех технологических областях, исключением не стала и логистика. </w:t>
      </w:r>
    </w:p>
    <w:p>
      <w:pPr>
        <w:spacing w:after="0" w:line="360" w:lineRule="auto"/>
        <w:ind w:firstLine="706"/>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 xml:space="preserve">В сфере логистики информационные технологи нашли своё широкое применение, они позволяют увеличить скорость обработки информации и принятия решений, снизить риски при принятии решений, наглядно представлять актуальную информацию в режиме реального времени, оперативно управлять транспортно-логистическими операциями.  </w:t>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Важным направлением транспортной логистики является логистика пассажирских перевозок. Основной задачей развития данного вида перевозок является обеспечение территориальной подвижности населения путём формирования рациональных маршрутов, оптимизации затрат на данный вид перевозки. Основной вектор развития данной области логистики – оптимизация организации транспортных пассажирских перевозок не только путём внедрения высокоскоростных транспортных средств и магистралей, но и путём внедрения и развития информационных технологий.</w:t>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 xml:space="preserve">В области пассажирских перевозок может быть выделен целый ряд направлений внедрения и развития информационных технологий: тарификация перевозок, создание единых систем-агрегаторов для покупки билетов на выбранной территории, создание уникальных транспортных предложений, формирование доступной информационной среды. </w:t>
      </w:r>
    </w:p>
    <w:p>
      <w:pPr>
        <w:shd w:val="clear" w:color="auto" w:fill="FFFFFF"/>
        <w:spacing w:after="0" w:line="360" w:lineRule="auto"/>
        <w:jc w:val="both"/>
        <w:rPr>
          <w:rFonts w:ascii="Times New Roman" w:hAnsi="Times New Roman" w:eastAsia="Times New Roman" w:cs="Times New Roman"/>
          <w:sz w:val="28"/>
          <w:szCs w:val="28"/>
          <w:lang w:eastAsia="ru-RU"/>
        </w:rPr>
      </w:pPr>
      <w:r>
        <w:rPr>
          <w:rFonts w:ascii="Times New Roman" w:hAnsi="Times New Roman" w:eastAsia="Calibri" w:cs="Times New Roman"/>
          <w:sz w:val="28"/>
          <w:szCs w:val="28"/>
        </w:rPr>
        <w:tab/>
      </w:r>
      <w:r>
        <w:rPr>
          <w:rFonts w:ascii="Times New Roman" w:hAnsi="Times New Roman" w:eastAsia="Calibri" w:cs="Times New Roman"/>
          <w:sz w:val="28"/>
          <w:szCs w:val="28"/>
        </w:rPr>
        <w:t xml:space="preserve">В учебном пособии </w:t>
      </w:r>
      <w:r>
        <w:rPr>
          <w:rFonts w:ascii="Times New Roman" w:hAnsi="Times New Roman" w:eastAsia="Calibri" w:cs="Times New Roman"/>
          <w:sz w:val="28"/>
          <w:szCs w:val="28"/>
          <w:shd w:val="clear" w:color="auto" w:fill="FFFFFF"/>
        </w:rPr>
        <w:t>Е. К. Коровяковского, И. Ю. Лашковой и С. В. Синицыной дано следующее определение тарифов:</w:t>
      </w:r>
      <w:r>
        <w:rPr>
          <w:rFonts w:ascii="Times New Roman" w:hAnsi="Times New Roman" w:eastAsia="Times New Roman" w:cs="Times New Roman"/>
          <w:sz w:val="28"/>
          <w:szCs w:val="28"/>
          <w:lang w:eastAsia="ru-RU"/>
        </w:rPr>
        <w:t xml:space="preserve"> тарифы представляют собой денежное выражение стоимости транспортной продукции. Продукция транспорта - перевозки и услуги, оказываемые клиентам. </w:t>
      </w:r>
      <w:r>
        <w:rPr>
          <w:rFonts w:ascii="Times New Roman" w:hAnsi="Times New Roman" w:eastAsia="Calibri" w:cs="Times New Roman"/>
          <w:sz w:val="28"/>
          <w:szCs w:val="28"/>
        </w:rPr>
        <w:t xml:space="preserve">Тарификация пассажирских перевозок – один из важнейших этапов его обеспечения, ведь именно от него зависит доступность данного вида перевозок для граждан, его прибыльность для транспортного предприятия. Создание грамотного и чёткого алгоритма регулирования цен, а также его цифровизация позволяют получать дополнительный экономический эффект от перевозочной деятельности. </w:t>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Затрагивая вопрос тарификации пассажирских перевозок, необходимо рассмотреть процесс формирования транспортных тарифов. Согласно А.В. Шабанову тарифы подразделяются на: фактический тариф, учитывающий значимость данного вида транспорта; плановый тариф, определяющий эффективную работу транспортной системы. Плановый тариф может быть определён по двум принципам: защитному (данный принцип обеспечивает рентабельную работу предприятия в условиях рыночной монополии): Цп = С + Пн (С – себестоимость пассажирских перевозок; Пн – нормативная прибыль, гарантирующая безубыточную работу транспортного предприятия; и по принципу конкурентоспособности на рынке транспортных услуг: Цп = Д(ц)/</w:t>
      </w:r>
      <w:r>
        <w:rPr>
          <w:rFonts w:ascii="Times New Roman" w:hAnsi="Times New Roman" w:eastAsia="Calibri" w:cs="Times New Roman"/>
          <w:sz w:val="28"/>
          <w:szCs w:val="28"/>
          <w:lang w:val="en-US"/>
        </w:rPr>
        <w:t>Q</w:t>
      </w:r>
      <w:r>
        <w:rPr>
          <w:rFonts w:ascii="Times New Roman" w:hAnsi="Times New Roman" w:eastAsia="Calibri" w:cs="Times New Roman"/>
          <w:sz w:val="28"/>
          <w:szCs w:val="28"/>
        </w:rPr>
        <w:t xml:space="preserve">г (Д(ц) – доход предприятия при установленном тарифе, </w:t>
      </w:r>
      <w:r>
        <w:rPr>
          <w:rFonts w:ascii="Times New Roman" w:hAnsi="Times New Roman" w:eastAsia="Calibri" w:cs="Times New Roman"/>
          <w:sz w:val="28"/>
          <w:szCs w:val="28"/>
          <w:lang w:val="en-US"/>
        </w:rPr>
        <w:t>Q</w:t>
      </w:r>
      <w:r>
        <w:rPr>
          <w:rFonts w:ascii="Times New Roman" w:hAnsi="Times New Roman" w:eastAsia="Calibri" w:cs="Times New Roman"/>
          <w:sz w:val="28"/>
          <w:szCs w:val="28"/>
        </w:rPr>
        <w:t>г – годовой пассажиропоток).</w:t>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 xml:space="preserve">Таким образом, внедрения информационных систем в тарификацию пассажирских перевозок может не только облегчить вычисление необходимых тарифных ставок в зависимости от внешних факторов, но и предоставит целый ряд дополнительных возможностей. К примеру, становится возможным создание систем, рассчитывающих стоимость перевозки в режиме реального времени на основании данных о загруженности того или иного маршрута в конкретный момент времени. Динамическое ценообразование в режиме реального времени может помочь равномерно распределить пассажиропоток: снизить загруженность наиболее заполненных маршрутов, повысить спрос на наименее востребованные рейсы путём предоставления более выгодных тарифов на перевозку. Формирование цены в режиме реального времени позволит повышать тарифы, а следовательно, и прибыль транспортных предприятия, в наиболее загруженные временные промежутки и по наиболее востребованным направлениям. Очевидно, что информационные системы справятся с подобной работой гораздо более быстро и эффективно, чем люди. Подобные системы могут работать самостоятельно и реагировать на все изменения клиентского спроса в бесперебойном режиме. </w:t>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 xml:space="preserve">Одним из перспективных направлений в развитии пассажирских перевозок можно считать перспективы создания систем-агрегаторов, позволяющих объединять множество компаний-перевозчиков на основе единой платформы. Такой подход позволит упростить процедуру выбора и покупки билетов для пассажиров, повысить уровень контроля над осуществлением пассажирских перевозок. Основной целью создания централизованного интегратора на базе одного из крупнейших перевозчиков заданного региона можно назвать упрощение покупки проездных билетов. К примеру, многие маршруты могут включать себя несколько видов транспорта: автомобильный, железнодорожный, водный. Единый агрегатор позволит избежать необходимости покупки отдельного проездного документа для каждого из сегментов поездки по-отдельности, предоставив возможность покупки единого билета. Алгоритм распределения прибыли между компаниями-перевозчиками тоже может быть автоматизирован и скрыт от конечного пользователя. Таким образом, возможно достичь доступность и удобство для пассажиров с одной стороны, и предоставить полную отчётность для контролирующих структур с другой стороны. </w:t>
      </w:r>
    </w:p>
    <w:p>
      <w:pPr>
        <w:spacing w:after="0" w:line="360" w:lineRule="auto"/>
        <w:ind w:firstLine="706"/>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При создании подобных информационных систем для обеспечения пассажирских перевозок необходимо решить целый ряд задач:  разработать алгоритм, позволяющий не только рассчитать маршрут между пунктам прибытия и отправления, но и сопоставлять с предложениями, существующими в данном регионе; необходимо идентифицировать пассажира, предоставлять наиболее выгодные предложения именно для его категории; научить систему распределять деньги между всеми участниками пассажирской перевозки; необходимо предусмотреть возможность отмены покупки проездного документа; важно заложить алгоритмы предоставления скидок для разных категорий пассажиров по разным направления.</w:t>
      </w:r>
    </w:p>
    <w:p>
      <w:p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Успешным примером внедрения информационных технологий в осуществление пассажирских перевозок стал опыт Швейцарских железных дорог (</w:t>
      </w:r>
      <w:r>
        <w:rPr>
          <w:rFonts w:ascii="Times New Roman" w:hAnsi="Times New Roman" w:eastAsia="Calibri" w:cs="Times New Roman"/>
          <w:sz w:val="28"/>
          <w:szCs w:val="28"/>
          <w:lang w:val="en-US"/>
        </w:rPr>
        <w:t>SBB</w:t>
      </w:r>
      <w:r>
        <w:rPr>
          <w:rFonts w:ascii="Times New Roman" w:hAnsi="Times New Roman" w:eastAsia="Calibri" w:cs="Times New Roman"/>
          <w:sz w:val="28"/>
          <w:szCs w:val="28"/>
        </w:rPr>
        <w:t>-</w:t>
      </w:r>
      <w:r>
        <w:rPr>
          <w:rFonts w:ascii="Times New Roman" w:hAnsi="Times New Roman" w:eastAsia="Calibri" w:cs="Times New Roman"/>
          <w:sz w:val="28"/>
          <w:szCs w:val="28"/>
          <w:lang w:val="en-US"/>
        </w:rPr>
        <w:t>CFF</w:t>
      </w:r>
      <w:r>
        <w:rPr>
          <w:rFonts w:ascii="Times New Roman" w:hAnsi="Times New Roman" w:eastAsia="Calibri" w:cs="Times New Roman"/>
          <w:sz w:val="28"/>
          <w:szCs w:val="28"/>
        </w:rPr>
        <w:t>-</w:t>
      </w:r>
      <w:r>
        <w:rPr>
          <w:rFonts w:ascii="Times New Roman" w:hAnsi="Times New Roman" w:eastAsia="Calibri" w:cs="Times New Roman"/>
          <w:sz w:val="28"/>
          <w:szCs w:val="28"/>
          <w:lang w:val="en-US"/>
        </w:rPr>
        <w:t>FFS</w:t>
      </w:r>
      <w:r>
        <w:rPr>
          <w:rFonts w:ascii="Times New Roman" w:hAnsi="Times New Roman" w:eastAsia="Calibri" w:cs="Times New Roman"/>
          <w:sz w:val="28"/>
          <w:szCs w:val="28"/>
        </w:rPr>
        <w:t xml:space="preserve">). Целью создания единой системы является объединение всех транспортных агентств Швейцарии под эгиду транспортного комитета с подрядчиком в виде SBB. Подобная система призвана облегчить процесс покупки билетов для пассажиров, предоставить контроль над общей системой пассажирских перевозок внутри страны. </w:t>
      </w:r>
    </w:p>
    <w:p>
      <w:pPr>
        <w:spacing w:after="0" w:line="360" w:lineRule="auto"/>
        <w:ind w:firstLine="708"/>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Подобное объединение является выгодным для всех участников эгиды. Маленькие транспортные компании получают возможность избежать значительных денежных затрат на создание собственной ИТ-системы по продаже билетов; крупные компании увеличивают оборот за счёт увеличения пассажиропотока; на государственном уровне упрощается осуществление контроля за пассажирскими перевозками, так как все отчёты наглядны и доступны в электронном виде; пассажиры получают более комфортную систему, позволяющую приобрести комбинированные билеты на любой маршрут. </w:t>
      </w:r>
    </w:p>
    <w:p>
      <w:pPr>
        <w:spacing w:after="0" w:line="360" w:lineRule="auto"/>
        <w:ind w:firstLine="708"/>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Опыт компаний </w:t>
      </w:r>
      <w:r>
        <w:rPr>
          <w:rFonts w:ascii="Times New Roman" w:hAnsi="Times New Roman" w:eastAsia="Calibri" w:cs="Times New Roman"/>
          <w:sz w:val="28"/>
          <w:szCs w:val="28"/>
          <w:lang w:val="en-US"/>
        </w:rPr>
        <w:t>SBB</w:t>
      </w:r>
      <w:r>
        <w:rPr>
          <w:rFonts w:ascii="Times New Roman" w:hAnsi="Times New Roman" w:eastAsia="Calibri" w:cs="Times New Roman"/>
          <w:sz w:val="28"/>
          <w:szCs w:val="28"/>
        </w:rPr>
        <w:t xml:space="preserve"> можно считать успешным, об этом свидетельствует не только повышение уровня обслуживания клиентов, но и государственные награды. Так в 2018 году проект </w:t>
      </w:r>
      <w:r>
        <w:rPr>
          <w:rFonts w:ascii="Times New Roman" w:hAnsi="Times New Roman" w:eastAsia="Calibri" w:cs="Times New Roman"/>
          <w:sz w:val="28"/>
          <w:szCs w:val="28"/>
          <w:lang w:val="en-US"/>
        </w:rPr>
        <w:t>SBB</w:t>
      </w:r>
      <w:r>
        <w:rPr>
          <w:rFonts w:ascii="Times New Roman" w:hAnsi="Times New Roman" w:eastAsia="Calibri" w:cs="Times New Roman"/>
          <w:sz w:val="28"/>
          <w:szCs w:val="28"/>
        </w:rPr>
        <w:t xml:space="preserve"> платформа </w:t>
      </w:r>
      <w:r>
        <w:rPr>
          <w:rFonts w:ascii="Times New Roman" w:hAnsi="Times New Roman" w:eastAsia="Calibri" w:cs="Times New Roman"/>
          <w:sz w:val="28"/>
          <w:szCs w:val="28"/>
          <w:lang w:val="en-US"/>
        </w:rPr>
        <w:t>NOVA</w:t>
      </w:r>
      <w:r>
        <w:rPr>
          <w:rFonts w:ascii="Times New Roman" w:hAnsi="Times New Roman" w:eastAsia="Calibri" w:cs="Times New Roman"/>
          <w:sz w:val="28"/>
          <w:szCs w:val="28"/>
        </w:rPr>
        <w:t xml:space="preserve"> выиграл швейцарскую премию Digital Economy Award в номинациях «Высочайшее качество» и «Информационно-технологический прорыв года». </w:t>
      </w:r>
    </w:p>
    <w:p>
      <w:pPr>
        <w:spacing w:after="0" w:line="240" w:lineRule="auto"/>
        <w:ind w:firstLine="708"/>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Библиографический список:</w:t>
      </w:r>
    </w:p>
    <w:p>
      <w:pPr>
        <w:spacing w:after="0"/>
        <w:rPr>
          <w:rFonts w:ascii="Times New Roman" w:hAnsi="Times New Roman" w:cs="Times New Roman"/>
          <w:sz w:val="28"/>
          <w:szCs w:val="28"/>
        </w:rPr>
      </w:pPr>
      <w:r>
        <w:rPr>
          <w:rFonts w:ascii="Times New Roman" w:hAnsi="Times New Roman" w:cs="Times New Roman"/>
          <w:sz w:val="28"/>
          <w:szCs w:val="28"/>
          <w:shd w:val="clear" w:color="auto" w:fill="FFFFFF"/>
        </w:rPr>
        <w:t>1) Г.В. Верховых «Железнодорожные пассажирские перевозки» - Москва, 2012г</w:t>
      </w:r>
    </w:p>
    <w:p>
      <w:pPr>
        <w:spacing w:after="0"/>
        <w:rPr>
          <w:rFonts w:ascii="Times New Roman" w:hAnsi="Times New Roman" w:eastAsia="Times New Roman" w:cs="Times New Roman"/>
          <w:kern w:val="36"/>
          <w:sz w:val="28"/>
          <w:szCs w:val="28"/>
          <w:lang w:eastAsia="ru-RU"/>
        </w:rPr>
      </w:pPr>
      <w:r>
        <w:rPr>
          <w:rFonts w:ascii="Times New Roman" w:hAnsi="Times New Roman" w:eastAsia="Times New Roman" w:cs="Times New Roman"/>
          <w:kern w:val="36"/>
          <w:sz w:val="28"/>
          <w:szCs w:val="28"/>
          <w:lang w:eastAsia="ru-RU"/>
        </w:rPr>
        <w:t>2) В.А. Гудков, Л.Б. Миротин, А.В. Вельможин, С.А. Ширяев «Пассажирские автомобильные перевозки: Учебник для вузов» - Телеком, 2004</w:t>
      </w:r>
    </w:p>
    <w:p>
      <w:pPr>
        <w:spacing w:after="0"/>
        <w:rPr>
          <w:rFonts w:ascii="Times New Roman" w:hAnsi="Times New Roman" w:eastAsia="Times New Roman" w:cs="Times New Roman"/>
          <w:kern w:val="36"/>
          <w:sz w:val="28"/>
          <w:szCs w:val="28"/>
          <w:lang w:eastAsia="ru-RU"/>
        </w:rPr>
      </w:pPr>
      <w:r>
        <w:rPr>
          <w:rFonts w:ascii="Times New Roman" w:hAnsi="Times New Roman" w:cs="Times New Roman"/>
          <w:sz w:val="28"/>
          <w:szCs w:val="28"/>
        </w:rPr>
        <w:t>3) Е. К. Коровяковский, Ю. В. Коровяковская - Международная логистика: учеб. пособие /.- СПб. : ПГУПС, 2011. - 48 с.</w:t>
      </w:r>
    </w:p>
    <w:p>
      <w:pPr>
        <w:spacing w:after="0"/>
        <w:rPr>
          <w:rFonts w:ascii="Times New Roman" w:hAnsi="Times New Roman" w:eastAsia="Times New Roman" w:cs="Times New Roman"/>
          <w:kern w:val="36"/>
          <w:sz w:val="28"/>
          <w:szCs w:val="28"/>
          <w:lang w:eastAsia="ru-RU"/>
        </w:rPr>
      </w:pPr>
      <w:r>
        <w:rPr>
          <w:rFonts w:ascii="Times New Roman" w:hAnsi="Times New Roman" w:cs="Times New Roman"/>
          <w:sz w:val="28"/>
          <w:szCs w:val="28"/>
          <w:shd w:val="clear" w:color="auto" w:fill="FFFFFF"/>
        </w:rPr>
        <w:t xml:space="preserve">4) Е. К. Коровяковский, И. Ю. Лашкова, С. В. Синицына «Основы коммерческой деятельности на железнодорожном транспорте» учеб. пособие Е- СПб. : [б. и.], 2009. - 101 с. </w:t>
      </w:r>
    </w:p>
    <w:p>
      <w:pPr>
        <w:spacing w:after="0"/>
        <w:rPr>
          <w:rFonts w:ascii="Times New Roman" w:hAnsi="Times New Roman" w:eastAsia="Times New Roman" w:cs="Times New Roman"/>
          <w:kern w:val="36"/>
          <w:sz w:val="28"/>
          <w:szCs w:val="28"/>
          <w:lang w:eastAsia="ru-RU"/>
        </w:rPr>
      </w:pPr>
      <w:r>
        <w:rPr>
          <w:rFonts w:ascii="Times New Roman" w:hAnsi="Times New Roman" w:eastAsia="Times New Roman" w:cs="Times New Roman"/>
          <w:kern w:val="36"/>
          <w:sz w:val="28"/>
          <w:szCs w:val="28"/>
          <w:lang w:eastAsia="ru-RU"/>
        </w:rPr>
        <w:t>5) А. В. Крейнин, Н. И. Узиков, Г. В. Фомин «Пассажирские перевозки на железнодорожном транспорте. Справочник».  - 1990, 224с.</w:t>
      </w:r>
    </w:p>
    <w:p>
      <w:pPr>
        <w:spacing w:after="0"/>
        <w:rPr>
          <w:rFonts w:ascii="Times New Roman" w:hAnsi="Times New Roman" w:eastAsia="Times New Roman" w:cs="Times New Roman"/>
          <w:kern w:val="36"/>
          <w:sz w:val="28"/>
          <w:szCs w:val="28"/>
          <w:lang w:eastAsia="ru-RU"/>
        </w:rPr>
      </w:pPr>
      <w:r>
        <w:rPr>
          <w:rFonts w:ascii="Times New Roman" w:hAnsi="Times New Roman" w:cs="Times New Roman"/>
          <w:sz w:val="28"/>
          <w:szCs w:val="28"/>
        </w:rPr>
        <w:t>6) А.В. Шабанов А. В. Региональные логистические системы общественного транспорта: методология формирования и механизм управления. – Ростовн/Д., изд-во СКНЦВШ, 2001. – 205 с.</w:t>
      </w:r>
    </w:p>
    <w:p>
      <w:pPr>
        <w:spacing w:after="0"/>
        <w:rPr>
          <w:rFonts w:ascii="Times New Roman" w:hAnsi="Times New Roman" w:eastAsia="Times New Roman" w:cs="Times New Roman"/>
          <w:kern w:val="36"/>
          <w:sz w:val="28"/>
          <w:szCs w:val="28"/>
          <w:lang w:eastAsia="ru-RU"/>
        </w:rPr>
      </w:pPr>
      <w:r>
        <w:rPr>
          <w:rFonts w:ascii="Times New Roman" w:hAnsi="Times New Roman" w:cs="Times New Roman"/>
          <w:sz w:val="28"/>
          <w:szCs w:val="28"/>
        </w:rPr>
        <w:t xml:space="preserve">7) Логистическая информационная система (классификации и методы) </w:t>
      </w:r>
      <w:r>
        <w:rPr>
          <w:rFonts w:ascii="Times New Roman" w:hAnsi="Times New Roman" w:cs="Times New Roman"/>
          <w:sz w:val="28"/>
          <w:szCs w:val="28"/>
          <w:u w:val="single"/>
        </w:rPr>
        <w:t>http://www.tadviser.ru/index.php/Статья:Логистическая_информационная_система_(классификации_и_методы)</w:t>
      </w:r>
      <w:r>
        <w:rPr>
          <w:rFonts w:ascii="Times New Roman" w:hAnsi="Times New Roman" w:cs="Times New Roman"/>
          <w:sz w:val="28"/>
          <w:szCs w:val="28"/>
        </w:rPr>
        <w:t xml:space="preserve"> (дата обращения 10.03.2020) </w:t>
      </w:r>
    </w:p>
    <w:p>
      <w:pPr>
        <w:spacing w:after="0"/>
        <w:rPr>
          <w:rFonts w:ascii="Times New Roman" w:hAnsi="Times New Roman" w:cs="Times New Roman"/>
          <w:sz w:val="28"/>
          <w:szCs w:val="28"/>
          <w:lang w:val="de-DE"/>
        </w:rPr>
      </w:pPr>
      <w:r>
        <w:rPr>
          <w:rFonts w:ascii="Times New Roman" w:hAnsi="Times New Roman" w:cs="Times New Roman"/>
          <w:sz w:val="28"/>
          <w:szCs w:val="28"/>
          <w:lang w:val="de-DE"/>
        </w:rPr>
        <w:t xml:space="preserve">8) Die SBB IT gewinnt mit der NOVA Plattform einen Digital Economy Award </w:t>
      </w:r>
      <w:r>
        <w:rPr>
          <w:rFonts w:ascii="Times New Roman" w:hAnsi="Times New Roman" w:cs="Times New Roman"/>
          <w:sz w:val="28"/>
          <w:szCs w:val="28"/>
          <w:u w:val="single"/>
          <w:lang w:val="de-DE"/>
        </w:rPr>
        <w:t>https://news.sbb.ch/artikel/84893/die-sbb-it-gewinnt-mit-der-nova-plattform-einen-digital-economy-award</w:t>
      </w:r>
      <w:r>
        <w:rPr>
          <w:rFonts w:ascii="Times New Roman" w:hAnsi="Times New Roman" w:cs="Times New Roman"/>
          <w:sz w:val="28"/>
          <w:szCs w:val="28"/>
          <w:lang w:val="de-DE"/>
        </w:rPr>
        <w:t xml:space="preserve"> (</w:t>
      </w:r>
      <w:r>
        <w:rPr>
          <w:rFonts w:ascii="Times New Roman" w:hAnsi="Times New Roman" w:cs="Times New Roman"/>
          <w:sz w:val="28"/>
          <w:szCs w:val="28"/>
        </w:rPr>
        <w:t>дата</w:t>
      </w:r>
      <w:r>
        <w:rPr>
          <w:rFonts w:ascii="Times New Roman" w:hAnsi="Times New Roman" w:cs="Times New Roman"/>
          <w:sz w:val="28"/>
          <w:szCs w:val="28"/>
          <w:lang w:val="de-DE"/>
        </w:rPr>
        <w:t xml:space="preserve"> </w:t>
      </w:r>
      <w:r>
        <w:rPr>
          <w:rFonts w:ascii="Times New Roman" w:hAnsi="Times New Roman" w:cs="Times New Roman"/>
          <w:sz w:val="28"/>
          <w:szCs w:val="28"/>
        </w:rPr>
        <w:t>обращения</w:t>
      </w:r>
      <w:r>
        <w:rPr>
          <w:rFonts w:ascii="Times New Roman" w:hAnsi="Times New Roman" w:cs="Times New Roman"/>
          <w:sz w:val="28"/>
          <w:szCs w:val="28"/>
          <w:lang w:val="de-DE"/>
        </w:rPr>
        <w:t xml:space="preserve"> 10.03.2020) </w:t>
      </w:r>
    </w:p>
    <w:p>
      <w:pPr>
        <w:spacing w:after="0"/>
        <w:rPr>
          <w:rFonts w:ascii="Times New Roman" w:hAnsi="Times New Roman" w:eastAsia="Calibri" w:cs="Times New Roman"/>
          <w:sz w:val="28"/>
          <w:szCs w:val="28"/>
          <w:lang w:val="de-DE"/>
        </w:rPr>
      </w:pPr>
      <w:r>
        <w:rPr>
          <w:rFonts w:ascii="Times New Roman" w:hAnsi="Times New Roman" w:eastAsia="Calibri" w:cs="Times New Roman"/>
          <w:sz w:val="28"/>
          <w:szCs w:val="28"/>
          <w:lang w:val="de-DE"/>
        </w:rPr>
        <w:br w:type="page"/>
      </w:r>
    </w:p>
    <w:p>
      <w:pPr>
        <w:widowControl w:val="0"/>
        <w:autoSpaceDE w:val="0"/>
        <w:autoSpaceDN w:val="0"/>
        <w:spacing w:after="0" w:line="360" w:lineRule="auto"/>
        <w:ind w:firstLine="709"/>
        <w:jc w:val="right"/>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Е.К. Коровяковский*, А.М. Сафиулина**</w:t>
      </w:r>
    </w:p>
    <w:p>
      <w:pPr>
        <w:widowControl w:val="0"/>
        <w:autoSpaceDE w:val="0"/>
        <w:autoSpaceDN w:val="0"/>
        <w:spacing w:after="0" w:line="360" w:lineRule="auto"/>
        <w:ind w:firstLine="709"/>
        <w:jc w:val="right"/>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Петербургский государственный университет путей сообщения императора Александра </w:t>
      </w:r>
      <w:r>
        <w:rPr>
          <w:rFonts w:ascii="Times New Roman" w:hAnsi="Times New Roman" w:eastAsia="Calibri" w:cs="Times New Roman"/>
          <w:sz w:val="28"/>
          <w:szCs w:val="28"/>
          <w:lang w:val="en-US" w:eastAsia="ru-RU"/>
        </w:rPr>
        <w:t>I</w:t>
      </w:r>
    </w:p>
    <w:p>
      <w:pPr>
        <w:widowControl w:val="0"/>
        <w:autoSpaceDE w:val="0"/>
        <w:autoSpaceDN w:val="0"/>
        <w:spacing w:after="0" w:line="360" w:lineRule="auto"/>
        <w:ind w:firstLine="709"/>
        <w:jc w:val="right"/>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Санкт-Петербург, Россия</w:t>
      </w:r>
    </w:p>
    <w:p>
      <w:pPr>
        <w:widowControl w:val="0"/>
        <w:autoSpaceDE w:val="0"/>
        <w:autoSpaceDN w:val="0"/>
        <w:spacing w:after="0" w:line="360" w:lineRule="auto"/>
        <w:ind w:firstLine="709"/>
        <w:jc w:val="right"/>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*к.т.н., доцент</w:t>
      </w:r>
    </w:p>
    <w:p>
      <w:pPr>
        <w:widowControl w:val="0"/>
        <w:autoSpaceDE w:val="0"/>
        <w:autoSpaceDN w:val="0"/>
        <w:spacing w:after="0" w:line="360" w:lineRule="auto"/>
        <w:ind w:firstLine="709"/>
        <w:jc w:val="right"/>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студент</w:t>
      </w:r>
    </w:p>
    <w:p>
      <w:pPr>
        <w:widowControl w:val="0"/>
        <w:autoSpaceDE w:val="0"/>
        <w:autoSpaceDN w:val="0"/>
        <w:spacing w:after="0" w:line="360" w:lineRule="auto"/>
        <w:ind w:firstLine="709"/>
        <w:jc w:val="right"/>
        <w:rPr>
          <w:rFonts w:ascii="Times New Roman" w:hAnsi="Times New Roman" w:eastAsia="Calibri" w:cs="Times New Roman"/>
          <w:sz w:val="28"/>
          <w:szCs w:val="28"/>
          <w:lang w:eastAsia="ru-RU"/>
        </w:rPr>
      </w:pPr>
    </w:p>
    <w:p>
      <w:pPr>
        <w:pStyle w:val="2"/>
        <w:spacing w:before="0"/>
        <w:jc w:val="center"/>
        <w:rPr>
          <w:rFonts w:ascii="Times New Roman" w:hAnsi="Times New Roman" w:eastAsia="Calibri"/>
          <w:b/>
          <w:color w:val="auto"/>
          <w:sz w:val="28"/>
          <w:szCs w:val="28"/>
          <w:lang w:eastAsia="ru-RU"/>
        </w:rPr>
      </w:pPr>
      <w:bookmarkStart w:id="11" w:name="_Toc37266319"/>
      <w:r>
        <w:rPr>
          <w:rFonts w:ascii="Times New Roman" w:hAnsi="Times New Roman" w:eastAsia="Calibri"/>
          <w:b/>
          <w:color w:val="auto"/>
          <w:sz w:val="28"/>
          <w:szCs w:val="28"/>
          <w:lang w:eastAsia="ru-RU"/>
        </w:rPr>
        <w:t xml:space="preserve">ИНТЕРПРЕТАЦИЯ МЕТОДА </w:t>
      </w:r>
      <w:r>
        <w:rPr>
          <w:rFonts w:ascii="Times New Roman" w:hAnsi="Times New Roman" w:eastAsia="Calibri"/>
          <w:b/>
          <w:color w:val="auto"/>
          <w:sz w:val="28"/>
          <w:szCs w:val="28"/>
          <w:lang w:val="en-US" w:eastAsia="ru-RU"/>
        </w:rPr>
        <w:t>ABC</w:t>
      </w:r>
      <w:r>
        <w:rPr>
          <w:rFonts w:ascii="Times New Roman" w:hAnsi="Times New Roman" w:eastAsia="Calibri"/>
          <w:b/>
          <w:color w:val="auto"/>
          <w:sz w:val="28"/>
          <w:szCs w:val="28"/>
          <w:lang w:eastAsia="ru-RU"/>
        </w:rPr>
        <w:t>/</w:t>
      </w:r>
      <w:r>
        <w:rPr>
          <w:rFonts w:ascii="Times New Roman" w:hAnsi="Times New Roman" w:eastAsia="Calibri"/>
          <w:b/>
          <w:color w:val="auto"/>
          <w:sz w:val="28"/>
          <w:szCs w:val="28"/>
          <w:lang w:val="en-US" w:eastAsia="ru-RU"/>
        </w:rPr>
        <w:t>XYZ</w:t>
      </w:r>
      <w:r>
        <w:rPr>
          <w:rFonts w:ascii="Times New Roman" w:hAnsi="Times New Roman" w:eastAsia="Calibri"/>
          <w:b/>
          <w:color w:val="auto"/>
          <w:sz w:val="28"/>
          <w:szCs w:val="28"/>
          <w:lang w:eastAsia="ru-RU"/>
        </w:rPr>
        <w:t xml:space="preserve"> ДЛЯ АНАЛИЗА МАТЕРИАЛЬНОГО ПОТОКА НА СКЛАДЕ</w:t>
      </w:r>
      <w:bookmarkEnd w:id="11"/>
    </w:p>
    <w:p>
      <w:pPr>
        <w:widowControl w:val="0"/>
        <w:autoSpaceDE w:val="0"/>
        <w:autoSpaceDN w:val="0"/>
        <w:spacing w:after="0" w:line="360" w:lineRule="auto"/>
        <w:ind w:firstLine="709"/>
        <w:jc w:val="center"/>
        <w:rPr>
          <w:rFonts w:ascii="Times New Roman" w:hAnsi="Times New Roman" w:eastAsia="Calibri" w:cs="Times New Roman"/>
          <w:sz w:val="28"/>
          <w:szCs w:val="28"/>
          <w:lang w:eastAsia="ru-RU"/>
        </w:rPr>
      </w:pPr>
    </w:p>
    <w:p>
      <w:pPr>
        <w:widowControl w:val="0"/>
        <w:autoSpaceDE w:val="0"/>
        <w:autoSpaceDN w:val="0"/>
        <w:spacing w:after="0" w:line="360" w:lineRule="auto"/>
        <w:ind w:firstLine="709"/>
        <w:jc w:val="both"/>
        <w:rPr>
          <w:rFonts w:ascii="Times New Roman" w:hAnsi="Times New Roman" w:eastAsia="Calibri" w:cs="Times New Roman"/>
          <w:iCs/>
          <w:sz w:val="28"/>
          <w:szCs w:val="28"/>
          <w:lang w:eastAsia="ru-RU"/>
        </w:rPr>
      </w:pPr>
      <w:r>
        <w:rPr>
          <w:rFonts w:ascii="Times New Roman" w:hAnsi="Times New Roman" w:eastAsia="Calibri" w:cs="Times New Roman"/>
          <w:b/>
          <w:sz w:val="28"/>
          <w:szCs w:val="28"/>
          <w:lang w:eastAsia="ru-RU"/>
        </w:rPr>
        <w:t xml:space="preserve">Аннотация: </w:t>
      </w:r>
      <w:r>
        <w:rPr>
          <w:rFonts w:ascii="Times New Roman" w:hAnsi="Times New Roman" w:eastAsia="Calibri" w:cs="Times New Roman"/>
          <w:iCs/>
          <w:sz w:val="28"/>
          <w:szCs w:val="28"/>
          <w:lang w:eastAsia="ru-RU"/>
        </w:rPr>
        <w:t xml:space="preserve">Статья посвящена изучению применения метода </w:t>
      </w:r>
      <w:r>
        <w:rPr>
          <w:rFonts w:ascii="Times New Roman" w:hAnsi="Times New Roman" w:eastAsia="Calibri" w:cs="Times New Roman"/>
          <w:bCs/>
          <w:sz w:val="28"/>
          <w:szCs w:val="28"/>
          <w:lang w:val="en-US" w:eastAsia="ru-RU"/>
        </w:rPr>
        <w:t>ABC</w:t>
      </w:r>
      <w:r>
        <w:rPr>
          <w:rFonts w:ascii="Times New Roman" w:hAnsi="Times New Roman" w:eastAsia="Calibri" w:cs="Times New Roman"/>
          <w:bCs/>
          <w:sz w:val="28"/>
          <w:szCs w:val="28"/>
          <w:lang w:eastAsia="ru-RU"/>
        </w:rPr>
        <w:t>/</w:t>
      </w:r>
      <w:r>
        <w:rPr>
          <w:rFonts w:ascii="Times New Roman" w:hAnsi="Times New Roman" w:eastAsia="Calibri" w:cs="Times New Roman"/>
          <w:bCs/>
          <w:sz w:val="28"/>
          <w:szCs w:val="28"/>
          <w:lang w:val="en-US" w:eastAsia="ru-RU"/>
        </w:rPr>
        <w:t>XYZ</w:t>
      </w:r>
      <w:r>
        <w:rPr>
          <w:rFonts w:ascii="Times New Roman" w:hAnsi="Times New Roman" w:eastAsia="Calibri" w:cs="Times New Roman"/>
          <w:bCs/>
          <w:sz w:val="28"/>
          <w:szCs w:val="28"/>
          <w:lang w:eastAsia="ru-RU"/>
        </w:rPr>
        <w:t xml:space="preserve"> для анализа</w:t>
      </w:r>
      <w:r>
        <w:rPr>
          <w:rFonts w:ascii="Times New Roman" w:hAnsi="Times New Roman" w:eastAsia="Calibri" w:cs="Times New Roman"/>
          <w:iCs/>
          <w:sz w:val="28"/>
          <w:szCs w:val="28"/>
          <w:lang w:eastAsia="ru-RU"/>
        </w:rPr>
        <w:t xml:space="preserve"> ассортимента продукции компании для совершенствования размещения ее на складе. Приводится анализ, а также новая интерпретация результатов исследования.</w:t>
      </w:r>
    </w:p>
    <w:p>
      <w:pPr>
        <w:widowControl w:val="0"/>
        <w:autoSpaceDE w:val="0"/>
        <w:autoSpaceDN w:val="0"/>
        <w:spacing w:after="0" w:line="360" w:lineRule="auto"/>
        <w:ind w:firstLine="709"/>
        <w:jc w:val="both"/>
        <w:rPr>
          <w:rFonts w:ascii="Times New Roman" w:hAnsi="Times New Roman" w:eastAsia="Calibri" w:cs="Times New Roman"/>
          <w:sz w:val="28"/>
          <w:szCs w:val="28"/>
          <w:lang w:eastAsia="ru-RU"/>
        </w:rPr>
      </w:pPr>
    </w:p>
    <w:p>
      <w:pPr>
        <w:widowControl w:val="0"/>
        <w:autoSpaceDE w:val="0"/>
        <w:autoSpaceDN w:val="0"/>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b/>
          <w:sz w:val="28"/>
          <w:szCs w:val="28"/>
          <w:lang w:eastAsia="ru-RU"/>
        </w:rPr>
        <w:t>Ключевые слова</w:t>
      </w:r>
      <w:r>
        <w:rPr>
          <w:rFonts w:ascii="Times New Roman" w:hAnsi="Times New Roman" w:eastAsia="Calibri" w:cs="Times New Roman"/>
          <w:sz w:val="28"/>
          <w:szCs w:val="28"/>
          <w:lang w:eastAsia="ru-RU"/>
        </w:rPr>
        <w:t xml:space="preserve">: </w:t>
      </w:r>
      <w:r>
        <w:rPr>
          <w:rFonts w:ascii="Times New Roman" w:hAnsi="Times New Roman" w:eastAsia="Calibri" w:cs="Times New Roman"/>
          <w:bCs/>
          <w:sz w:val="28"/>
          <w:szCs w:val="28"/>
          <w:lang w:val="en-US" w:eastAsia="ru-RU"/>
        </w:rPr>
        <w:t>ABC</w:t>
      </w:r>
      <w:r>
        <w:rPr>
          <w:rFonts w:ascii="Times New Roman" w:hAnsi="Times New Roman" w:eastAsia="Calibri" w:cs="Times New Roman"/>
          <w:bCs/>
          <w:sz w:val="28"/>
          <w:szCs w:val="28"/>
          <w:lang w:eastAsia="ru-RU"/>
        </w:rPr>
        <w:t>/</w:t>
      </w:r>
      <w:r>
        <w:rPr>
          <w:rFonts w:ascii="Times New Roman" w:hAnsi="Times New Roman" w:eastAsia="Calibri" w:cs="Times New Roman"/>
          <w:bCs/>
          <w:sz w:val="28"/>
          <w:szCs w:val="28"/>
          <w:lang w:val="en-US" w:eastAsia="ru-RU"/>
        </w:rPr>
        <w:t>XYZ</w:t>
      </w:r>
      <w:r>
        <w:rPr>
          <w:rFonts w:ascii="Times New Roman" w:hAnsi="Times New Roman" w:eastAsia="Calibri" w:cs="Times New Roman"/>
          <w:sz w:val="28"/>
          <w:szCs w:val="28"/>
          <w:lang w:eastAsia="ru-RU"/>
        </w:rPr>
        <w:t>, анализ продукции, склад, границы распределения, автоинструмент.</w:t>
      </w:r>
    </w:p>
    <w:p>
      <w:pPr>
        <w:widowControl w:val="0"/>
        <w:autoSpaceDE w:val="0"/>
        <w:autoSpaceDN w:val="0"/>
        <w:spacing w:after="0" w:line="360" w:lineRule="auto"/>
        <w:ind w:firstLine="709"/>
        <w:jc w:val="both"/>
        <w:rPr>
          <w:rFonts w:ascii="Times New Roman" w:hAnsi="Times New Roman" w:eastAsia="Calibri" w:cs="Times New Roman"/>
          <w:sz w:val="28"/>
          <w:szCs w:val="28"/>
          <w:lang w:eastAsia="ru-RU"/>
        </w:rPr>
      </w:pPr>
    </w:p>
    <w:p>
      <w:pPr>
        <w:widowControl w:val="0"/>
        <w:tabs>
          <w:tab w:val="left" w:pos="1996"/>
          <w:tab w:val="left" w:pos="3886"/>
        </w:tabs>
        <w:autoSpaceDE w:val="0"/>
        <w:autoSpaceDN w:val="0"/>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Для торговых предприятий, владеющих собственным складским помещением, весьма актуальным является управление складскими запасами. Ведь склады являются одним из основных звеньев работы компании: скорость погрузочно-разгрузочных</w:t>
      </w:r>
      <w:r>
        <w:rPr>
          <w:rFonts w:ascii="Times New Roman" w:hAnsi="Times New Roman" w:eastAsia="Calibri" w:cs="Times New Roman"/>
          <w:sz w:val="28"/>
          <w:szCs w:val="28"/>
          <w:lang w:eastAsia="ru-RU"/>
        </w:rPr>
        <w:tab/>
      </w:r>
      <w:r>
        <w:rPr>
          <w:rFonts w:ascii="Times New Roman" w:hAnsi="Times New Roman" w:eastAsia="Calibri" w:cs="Times New Roman"/>
          <w:sz w:val="28"/>
          <w:szCs w:val="28"/>
          <w:lang w:eastAsia="ru-RU"/>
        </w:rPr>
        <w:t xml:space="preserve">работ, слаженность работы складских работников и административного персонала, качество хранения продукции, своевременное определение бракованной продукции, отгрузка в соответствии с расходными документами - все эти факторы влияют на качество работы как с поставщиками, так и с потребителями продукции. Эффективная работа отделов </w:t>
      </w:r>
      <w:r>
        <w:rPr>
          <w:rFonts w:ascii="Times New Roman" w:hAnsi="Times New Roman" w:eastAsia="Calibri" w:cs="Times New Roman"/>
          <w:spacing w:val="-1"/>
          <w:sz w:val="28"/>
          <w:szCs w:val="28"/>
          <w:lang w:eastAsia="ru-RU"/>
        </w:rPr>
        <w:t xml:space="preserve">сбыта, </w:t>
      </w:r>
      <w:r>
        <w:rPr>
          <w:rFonts w:ascii="Times New Roman" w:hAnsi="Times New Roman" w:eastAsia="Calibri" w:cs="Times New Roman"/>
          <w:sz w:val="28"/>
          <w:szCs w:val="28"/>
          <w:lang w:eastAsia="ru-RU"/>
        </w:rPr>
        <w:t>внешнеэкономической деятельности, маркетинга и рекламы может быть нивелирована неорганизованной работой склада.</w:t>
      </w:r>
    </w:p>
    <w:p>
      <w:pPr>
        <w:widowControl w:val="0"/>
        <w:tabs>
          <w:tab w:val="left" w:pos="2193"/>
          <w:tab w:val="left" w:pos="2984"/>
          <w:tab w:val="left" w:pos="3532"/>
        </w:tabs>
        <w:autoSpaceDE w:val="0"/>
        <w:autoSpaceDN w:val="0"/>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На данный момент существует множество подходов к оперативному анализу запасов, которые позволяют совмещать определение объемов и сроков закупок, темпов потребления, а также объемов пополнения складского запаса. </w:t>
      </w:r>
    </w:p>
    <w:p>
      <w:pPr>
        <w:widowControl w:val="0"/>
        <w:tabs>
          <w:tab w:val="left" w:pos="2193"/>
          <w:tab w:val="left" w:pos="2984"/>
          <w:tab w:val="left" w:pos="3532"/>
        </w:tabs>
        <w:autoSpaceDE w:val="0"/>
        <w:autoSpaceDN w:val="0"/>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Мониторинг и анализ материального потока на складе позволит предупредить возникновение дефицита запасов товара и риск недополучения прибыли и потери клиентов.</w:t>
      </w:r>
    </w:p>
    <w:p>
      <w:pPr>
        <w:widowControl w:val="0"/>
        <w:tabs>
          <w:tab w:val="left" w:pos="3407"/>
        </w:tabs>
        <w:autoSpaceDE w:val="0"/>
        <w:autoSpaceDN w:val="0"/>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Целесообразность</w:t>
      </w:r>
      <w:r>
        <w:rPr>
          <w:rFonts w:ascii="Times New Roman" w:hAnsi="Times New Roman" w:eastAsia="Calibri" w:cs="Times New Roman"/>
          <w:sz w:val="28"/>
          <w:szCs w:val="28"/>
          <w:lang w:eastAsia="ru-RU"/>
        </w:rPr>
        <w:tab/>
      </w:r>
      <w:r>
        <w:rPr>
          <w:rFonts w:ascii="Times New Roman" w:hAnsi="Times New Roman" w:eastAsia="Calibri" w:cs="Times New Roman"/>
          <w:spacing w:val="-3"/>
          <w:sz w:val="28"/>
          <w:szCs w:val="28"/>
          <w:lang w:eastAsia="ru-RU"/>
        </w:rPr>
        <w:t xml:space="preserve">выбора </w:t>
      </w:r>
      <w:r>
        <w:rPr>
          <w:rFonts w:ascii="Times New Roman" w:hAnsi="Times New Roman" w:eastAsia="Calibri" w:cs="Times New Roman"/>
          <w:sz w:val="28"/>
          <w:szCs w:val="28"/>
          <w:lang w:eastAsia="ru-RU"/>
        </w:rPr>
        <w:t>метода анализа запасов обусловлена необходимостью минимизации затрат на содержание запасов.</w:t>
      </w:r>
    </w:p>
    <w:p>
      <w:pPr>
        <w:widowControl w:val="0"/>
        <w:tabs>
          <w:tab w:val="left" w:pos="2346"/>
          <w:tab w:val="left" w:pos="2845"/>
          <w:tab w:val="left" w:pos="3829"/>
        </w:tabs>
        <w:autoSpaceDE w:val="0"/>
        <w:autoSpaceDN w:val="0"/>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«Складские запасы представляют собой крупнейшую инвестицию в активы большинства </w:t>
      </w:r>
      <w:r>
        <w:rPr>
          <w:rFonts w:ascii="Times New Roman" w:hAnsi="Times New Roman" w:eastAsia="Calibri" w:cs="Times New Roman"/>
          <w:spacing w:val="-1"/>
          <w:sz w:val="28"/>
          <w:szCs w:val="28"/>
          <w:lang w:eastAsia="ru-RU"/>
        </w:rPr>
        <w:t xml:space="preserve">производителей, </w:t>
      </w:r>
      <w:r>
        <w:rPr>
          <w:rFonts w:ascii="Times New Roman" w:hAnsi="Times New Roman" w:eastAsia="Calibri" w:cs="Times New Roman"/>
          <w:sz w:val="28"/>
          <w:szCs w:val="28"/>
          <w:lang w:eastAsia="ru-RU"/>
        </w:rPr>
        <w:t xml:space="preserve">дистрибьюторов и розничных торговцев. Вместе с тем увеличение материальных запасов не всегда приносит позитивный эффект, так как </w:t>
      </w:r>
      <w:r>
        <w:rPr>
          <w:rFonts w:ascii="Times New Roman" w:hAnsi="Times New Roman" w:eastAsia="Calibri" w:cs="Times New Roman"/>
          <w:spacing w:val="2"/>
          <w:sz w:val="28"/>
          <w:szCs w:val="28"/>
          <w:lang w:eastAsia="ru-RU"/>
        </w:rPr>
        <w:t xml:space="preserve">их </w:t>
      </w:r>
      <w:r>
        <w:rPr>
          <w:rFonts w:ascii="Times New Roman" w:hAnsi="Times New Roman" w:eastAsia="Calibri" w:cs="Times New Roman"/>
          <w:sz w:val="28"/>
          <w:szCs w:val="28"/>
          <w:lang w:eastAsia="ru-RU"/>
        </w:rPr>
        <w:t>поддержание связано со значительными издержками. Чтобы снизить затраты на хранение, компания может установить невысокий уровень материальных</w:t>
      </w:r>
      <w:r>
        <w:rPr>
          <w:rFonts w:ascii="Times New Roman" w:hAnsi="Times New Roman" w:eastAsia="Calibri" w:cs="Times New Roman"/>
          <w:sz w:val="28"/>
          <w:szCs w:val="28"/>
          <w:lang w:eastAsia="ru-RU"/>
        </w:rPr>
        <w:tab/>
      </w:r>
      <w:r>
        <w:rPr>
          <w:rFonts w:ascii="Times New Roman" w:hAnsi="Times New Roman" w:eastAsia="Calibri" w:cs="Times New Roman"/>
          <w:sz w:val="28"/>
          <w:szCs w:val="28"/>
          <w:lang w:eastAsia="ru-RU"/>
        </w:rPr>
        <w:t>запасов,</w:t>
      </w:r>
      <w:r>
        <w:rPr>
          <w:rFonts w:ascii="Times New Roman" w:hAnsi="Times New Roman" w:eastAsia="Calibri" w:cs="Times New Roman"/>
          <w:sz w:val="28"/>
          <w:szCs w:val="28"/>
          <w:lang w:eastAsia="ru-RU"/>
        </w:rPr>
        <w:tab/>
      </w:r>
      <w:r>
        <w:rPr>
          <w:rFonts w:ascii="Times New Roman" w:hAnsi="Times New Roman" w:eastAsia="Calibri" w:cs="Times New Roman"/>
          <w:spacing w:val="-3"/>
          <w:sz w:val="28"/>
          <w:szCs w:val="28"/>
          <w:lang w:eastAsia="ru-RU"/>
        </w:rPr>
        <w:t xml:space="preserve">однако </w:t>
      </w:r>
      <w:r>
        <w:rPr>
          <w:rFonts w:ascii="Times New Roman" w:hAnsi="Times New Roman" w:eastAsia="Calibri" w:cs="Times New Roman"/>
          <w:sz w:val="28"/>
          <w:szCs w:val="28"/>
          <w:lang w:eastAsia="ru-RU"/>
        </w:rPr>
        <w:t>возникающий вследствие  этого дефицит товаров часто ведет к потере клиентов».</w:t>
      </w:r>
    </w:p>
    <w:p>
      <w:pPr>
        <w:widowControl w:val="0"/>
        <w:autoSpaceDE w:val="0"/>
        <w:autoSpaceDN w:val="0"/>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Для корректного выбора технологии хранения и грузообработки в с  оответствии с   параметрами товаропотоков и запасов, а также для снижения трудоемкости  выполняемых операций по внутрискладским перемещениям необходимо  разделить продукцию на  группы в соответствии по результатам проведения  ABC– , XYZ – анализа.</w:t>
      </w:r>
    </w:p>
    <w:p>
      <w:pPr>
        <w:widowControl w:val="0"/>
        <w:autoSpaceDE w:val="0"/>
        <w:autoSpaceDN w:val="0"/>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bCs/>
          <w:sz w:val="28"/>
          <w:szCs w:val="28"/>
          <w:lang w:eastAsia="ru-RU"/>
        </w:rPr>
        <w:t xml:space="preserve">АВС </w:t>
      </w:r>
      <w:r>
        <w:rPr>
          <w:rFonts w:ascii="Times New Roman" w:hAnsi="Times New Roman" w:eastAsia="Calibri" w:cs="Times New Roman"/>
          <w:sz w:val="28"/>
          <w:szCs w:val="28"/>
          <w:lang w:eastAsia="ru-RU"/>
        </w:rPr>
        <w:t xml:space="preserve">– </w:t>
      </w:r>
      <w:r>
        <w:rPr>
          <w:rFonts w:ascii="Times New Roman" w:hAnsi="Times New Roman" w:eastAsia="Calibri" w:cs="Times New Roman"/>
          <w:bCs/>
          <w:sz w:val="28"/>
          <w:szCs w:val="28"/>
          <w:lang w:eastAsia="ru-RU"/>
        </w:rPr>
        <w:t xml:space="preserve">анализ </w:t>
      </w:r>
      <w:r>
        <w:rPr>
          <w:rFonts w:ascii="Times New Roman" w:hAnsi="Times New Roman" w:eastAsia="Calibri" w:cs="Times New Roman"/>
          <w:sz w:val="28"/>
          <w:szCs w:val="28"/>
          <w:lang w:eastAsia="ru-RU"/>
        </w:rPr>
        <w:t xml:space="preserve">позволяет обеспечить компанию оптимальным ассортиментом (номенклатурой). В результате анализа выявляются пропорции покрытия затрат предприятия. Система позволяет определить оптимальное соотношение видов и групп товаров на предприятии с учетом предъявляемых требований для достижения поставленных целей. </w:t>
      </w:r>
    </w:p>
    <w:p>
      <w:pPr>
        <w:widowControl w:val="0"/>
        <w:autoSpaceDE w:val="0"/>
        <w:autoSpaceDN w:val="0"/>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bCs/>
          <w:sz w:val="28"/>
          <w:szCs w:val="28"/>
          <w:lang w:eastAsia="ru-RU"/>
        </w:rPr>
        <w:t xml:space="preserve">XYZ </w:t>
      </w:r>
      <w:r>
        <w:rPr>
          <w:rFonts w:ascii="Times New Roman" w:hAnsi="Times New Roman" w:eastAsia="Calibri" w:cs="Times New Roman"/>
          <w:sz w:val="28"/>
          <w:szCs w:val="28"/>
          <w:lang w:eastAsia="ru-RU"/>
        </w:rPr>
        <w:t xml:space="preserve">– </w:t>
      </w:r>
      <w:r>
        <w:rPr>
          <w:rFonts w:ascii="Times New Roman" w:hAnsi="Times New Roman" w:eastAsia="Calibri" w:cs="Times New Roman"/>
          <w:bCs/>
          <w:sz w:val="28"/>
          <w:szCs w:val="28"/>
          <w:lang w:eastAsia="ru-RU"/>
        </w:rPr>
        <w:t>анализ</w:t>
      </w:r>
      <w:r>
        <w:rPr>
          <w:rFonts w:ascii="Times New Roman" w:hAnsi="Times New Roman" w:eastAsia="Calibri" w:cs="Times New Roman"/>
          <w:sz w:val="28"/>
          <w:szCs w:val="28"/>
          <w:lang w:eastAsia="ru-RU"/>
        </w:rPr>
        <w:t xml:space="preserve"> поможет учитывать характер потребления запасов, а также точность прогнозирования изменения их потребности. Он позволяет оценить качество показателей деятельности предприятия по снабжению и закупкам, а также значимость товаров в зависимости от частоты потребления. </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Совместив результаты двух видов анализа, можно подобрать оптимальные размеры, оснащение и расположение технологических зон складского помещения. Это поможет как на этапе проектирования склада, так и для совершенствования уже существующего склада.</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Товары групп А и В обеспечивают основной товарооборот компании. Поэтому необходимо обеспечивать постоянное их наличие на складе. При этом желательно по товарам группы А создать избыточный страховой за</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пас, а по товарам группы В - достаточный. Использование XYZ-анализа позволяет точнее настроить систему управления товарными ресурсами и за счет этого снизить суммарный товарный запас.</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Товары группы АХ и ВХ отличает высокий товарооборот и стабильность. Необходимо обеспечить постоянное наличие товара, но для этого не нужно создавать избыточный страховой запас, так как спрос на эти товары хорошо прогнозируется. Товары группы AY и BY при высоком товарообороте недостаточно стабильно расходуются, поэтому для того чтобы обес</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печить постоянное их наличие, нужно увеличить страховой запас. Товары группы AZ и BZ при высоком това</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рообороте отличаются низкой прогнозируемостью расхода. Наличие избыточного страхового то</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варного запаса приведет к тому, что средний товарный запас компании значительно увели</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чится. По товарам данной группы следует пе</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ресмотреть систему заказов. Часть товаров нужно перевести на систему заказов с посто</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янным объемом заказа, по части то</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варов необходимо обеспечить более частые поставки, выбрать поставщиков, расположен</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ных близко к складу, повысить периодичность контроля, поручить работу с данной группой товаров самому опытному менеджеру компании и т. п.</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Товары группы С составляют до 80% ассор</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тимента компании. Применение XYZ-анализа позволяет сильно сократить время на управление и контроль над товарами данной группы. По товарам группы СХ можно использовать систему заказов с постоянной периодичностью и снизить страховой товарный запас. По товарам группы CY можно перейти на систему с постоянной суммой заказа, но при этом формировать страховой запас, исходя из имеющихся у компании финансовых возможностей. В группу товаров CZ попадают все новинки, товары спонтанного спроса, поставляемые под заказ и т. п. Часть этих товаров необходимо выводить из ассортимента, а другую часть нужно регулярно конт</w:t>
      </w:r>
      <w:r>
        <w:rPr>
          <w:rFonts w:ascii="Times New Roman" w:hAnsi="Times New Roman" w:eastAsia="Calibri" w:cs="Times New Roman"/>
          <w:sz w:val="28"/>
          <w:szCs w:val="28"/>
          <w:lang w:eastAsia="ru-RU"/>
        </w:rPr>
        <w:softHyphen/>
      </w:r>
      <w:r>
        <w:rPr>
          <w:rFonts w:ascii="Times New Roman" w:hAnsi="Times New Roman" w:eastAsia="Calibri" w:cs="Times New Roman"/>
          <w:sz w:val="28"/>
          <w:szCs w:val="28"/>
          <w:lang w:eastAsia="ru-RU"/>
        </w:rPr>
        <w:t>ролировать, чтобы выявить неликвидные или труднореализуемые товарные запасы, от которых компания несет потери. Выводить из ассортимента необходимо остатки товаров, взятых под заказ или уже не выпускающихся, то есть товаров, обычно относящихся к категории стоков.</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Также возможно выделить товары группы С - товары, имеющие 5 % значения критерия и 50 % позиций, в том числе группа С1 (D), включающая 1% значения критерия. Группа С1 (D) — балласт, который надо тщательно проанализировать перед принятием решения о его ликвидации.</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Проведем анализ склада готовой продукции компании, расположенный в Санкт-Петербурге. Компания является поставщиком профессионального инструмента и оборудования для автомобильных сервисных центров и мастерских, промышленных предприятий и личного применения. На складе площадью в 3 000 кв. метров хранится более 35 000 наименований товаров.</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Ассортимент компании включает  следующие категории товаров:</w:t>
      </w:r>
    </w:p>
    <w:p>
      <w:pPr>
        <w:widowControl w:val="0"/>
        <w:numPr>
          <w:ilvl w:val="0"/>
          <w:numId w:val="7"/>
        </w:numPr>
        <w:shd w:val="clear" w:color="auto" w:fill="FFFFFF"/>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монтажный инструмент (</w:t>
      </w:r>
      <w:r>
        <w:rPr>
          <w:rFonts w:ascii="Times New Roman" w:hAnsi="Times New Roman" w:eastAsia="Calibri" w:cs="Times New Roman"/>
          <w:sz w:val="28"/>
          <w:szCs w:val="28"/>
          <w:lang w:val="en-US" w:eastAsia="ru-RU"/>
        </w:rPr>
        <w:t>ручной инструмент</w:t>
      </w:r>
      <w:r>
        <w:rPr>
          <w:rFonts w:ascii="Times New Roman" w:hAnsi="Times New Roman" w:eastAsia="Calibri" w:cs="Times New Roman"/>
          <w:sz w:val="28"/>
          <w:szCs w:val="28"/>
          <w:lang w:eastAsia="ru-RU"/>
        </w:rPr>
        <w:t>);</w:t>
      </w:r>
    </w:p>
    <w:p>
      <w:pPr>
        <w:widowControl w:val="0"/>
        <w:numPr>
          <w:ilvl w:val="0"/>
          <w:numId w:val="7"/>
        </w:numPr>
        <w:shd w:val="clear" w:color="auto" w:fill="FFFFFF"/>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слесарный инструмент;</w:t>
      </w:r>
    </w:p>
    <w:p>
      <w:pPr>
        <w:widowControl w:val="0"/>
        <w:numPr>
          <w:ilvl w:val="0"/>
          <w:numId w:val="7"/>
        </w:numPr>
        <w:shd w:val="clear" w:color="auto" w:fill="FFFFFF"/>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динамометрический инструмент;</w:t>
      </w:r>
    </w:p>
    <w:p>
      <w:pPr>
        <w:widowControl w:val="0"/>
        <w:numPr>
          <w:ilvl w:val="0"/>
          <w:numId w:val="7"/>
        </w:numPr>
        <w:shd w:val="clear" w:color="auto" w:fill="FFFFFF"/>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специнструмент;</w:t>
      </w:r>
    </w:p>
    <w:p>
      <w:pPr>
        <w:widowControl w:val="0"/>
        <w:numPr>
          <w:ilvl w:val="0"/>
          <w:numId w:val="7"/>
        </w:numPr>
        <w:shd w:val="clear" w:color="auto" w:fill="FFFFFF"/>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силовой инструмент и оборудование (гидравлический, сварочное оборудование, малярно-кузовное оборудование, пневматический инструмент, пусковые зарядные устройства);</w:t>
      </w:r>
    </w:p>
    <w:p>
      <w:pPr>
        <w:widowControl w:val="0"/>
        <w:numPr>
          <w:ilvl w:val="0"/>
          <w:numId w:val="7"/>
        </w:numPr>
        <w:shd w:val="clear" w:color="auto" w:fill="FFFFFF"/>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оснастка, расходные материалы и инвентарь (абразивный инструмент, безопасность труда, технические жидкости и химия);</w:t>
      </w:r>
    </w:p>
    <w:p>
      <w:pPr>
        <w:widowControl w:val="0"/>
        <w:numPr>
          <w:ilvl w:val="0"/>
          <w:numId w:val="7"/>
        </w:numPr>
        <w:shd w:val="clear" w:color="auto" w:fill="FFFFFF"/>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металлорежущий инструмент (металлообрабатывающий инструмент);</w:t>
      </w:r>
    </w:p>
    <w:p>
      <w:pPr>
        <w:widowControl w:val="0"/>
        <w:numPr>
          <w:ilvl w:val="0"/>
          <w:numId w:val="7"/>
        </w:numPr>
        <w:shd w:val="clear" w:color="auto" w:fill="FFFFFF"/>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средства измерения (измерительный и электроизмерительный инструмент);</w:t>
      </w:r>
    </w:p>
    <w:p>
      <w:pPr>
        <w:widowControl w:val="0"/>
        <w:numPr>
          <w:ilvl w:val="0"/>
          <w:numId w:val="7"/>
        </w:numPr>
        <w:shd w:val="clear" w:color="auto" w:fill="FFFFFF"/>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оборудование для производства и СТО.</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На данный момент на складе компании необходимо запустить бизнес-процесс по автоматизации склада с внедрением </w:t>
      </w:r>
      <w:r>
        <w:rPr>
          <w:rFonts w:ascii="Times New Roman" w:hAnsi="Times New Roman" w:eastAsia="Calibri" w:cs="Times New Roman"/>
          <w:sz w:val="28"/>
          <w:szCs w:val="28"/>
          <w:lang w:val="en-US" w:eastAsia="ru-RU"/>
        </w:rPr>
        <w:t>WMS</w:t>
      </w:r>
      <w:r>
        <w:rPr>
          <w:rFonts w:ascii="Times New Roman" w:hAnsi="Times New Roman" w:eastAsia="Calibri" w:cs="Times New Roman"/>
          <w:sz w:val="28"/>
          <w:szCs w:val="28"/>
          <w:lang w:eastAsia="ru-RU"/>
        </w:rPr>
        <w:t>-системы, адаптированной под специфику компании. Для начала требуется проанализировать складского запаса для выявления  оптимального соотношения товарных позиций и определения характера потребления продукции.</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Критериями для проведения анализа выбран объем продаж и запас товара на складе за 2019 г., в разрезе четырех кварталов. Анализ проводился по каждой товарной позиции и матрица на рис. 1 содержит количество товарных позиций, отнесенных по категориям анализа.</w:t>
      </w:r>
    </w:p>
    <w:tbl>
      <w:tblPr>
        <w:tblStyle w:val="16"/>
        <w:tblW w:w="5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70"/>
        <w:gridCol w:w="1022"/>
        <w:gridCol w:w="980"/>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6"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p>
        </w:tc>
        <w:tc>
          <w:tcPr>
            <w:tcW w:w="1070"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A</w:t>
            </w:r>
          </w:p>
        </w:tc>
        <w:tc>
          <w:tcPr>
            <w:tcW w:w="1022"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B</w:t>
            </w:r>
          </w:p>
        </w:tc>
        <w:tc>
          <w:tcPr>
            <w:tcW w:w="980"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C</w:t>
            </w:r>
          </w:p>
        </w:tc>
        <w:tc>
          <w:tcPr>
            <w:tcW w:w="1023"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56"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X</w:t>
            </w:r>
          </w:p>
        </w:tc>
        <w:tc>
          <w:tcPr>
            <w:tcW w:w="107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29</w:t>
            </w:r>
          </w:p>
        </w:tc>
        <w:tc>
          <w:tcPr>
            <w:tcW w:w="1022"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28</w:t>
            </w:r>
          </w:p>
        </w:tc>
        <w:tc>
          <w:tcPr>
            <w:tcW w:w="98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49</w:t>
            </w:r>
          </w:p>
        </w:tc>
        <w:tc>
          <w:tcPr>
            <w:tcW w:w="1023"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56"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Y</w:t>
            </w:r>
          </w:p>
        </w:tc>
        <w:tc>
          <w:tcPr>
            <w:tcW w:w="107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523</w:t>
            </w:r>
          </w:p>
        </w:tc>
        <w:tc>
          <w:tcPr>
            <w:tcW w:w="1022"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953</w:t>
            </w:r>
          </w:p>
        </w:tc>
        <w:tc>
          <w:tcPr>
            <w:tcW w:w="98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1674</w:t>
            </w:r>
          </w:p>
        </w:tc>
        <w:tc>
          <w:tcPr>
            <w:tcW w:w="1023"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1488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56"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Z</w:t>
            </w:r>
          </w:p>
        </w:tc>
        <w:tc>
          <w:tcPr>
            <w:tcW w:w="107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1422</w:t>
            </w:r>
          </w:p>
        </w:tc>
        <w:tc>
          <w:tcPr>
            <w:tcW w:w="1022"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1924</w:t>
            </w:r>
          </w:p>
        </w:tc>
        <w:tc>
          <w:tcPr>
            <w:tcW w:w="98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4785</w:t>
            </w:r>
          </w:p>
        </w:tc>
        <w:tc>
          <w:tcPr>
            <w:tcW w:w="1023"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2148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56"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rPr>
            </w:pPr>
            <w:r>
              <w:rPr>
                <w:rFonts w:ascii="Times New Roman" w:hAnsi="Times New Roman" w:eastAsia="Calibri" w:cs="Times New Roman"/>
                <w:b/>
                <w:bCs/>
                <w:color w:val="003F2F"/>
                <w:sz w:val="28"/>
                <w:szCs w:val="28"/>
              </w:rPr>
              <w:t>Итого</w:t>
            </w:r>
          </w:p>
        </w:tc>
        <w:tc>
          <w:tcPr>
            <w:tcW w:w="107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1974</w:t>
            </w:r>
          </w:p>
        </w:tc>
        <w:tc>
          <w:tcPr>
            <w:tcW w:w="1022"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2905</w:t>
            </w:r>
          </w:p>
        </w:tc>
        <w:tc>
          <w:tcPr>
            <w:tcW w:w="98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6508</w:t>
            </w:r>
          </w:p>
        </w:tc>
        <w:tc>
          <w:tcPr>
            <w:tcW w:w="1023"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3648</w:t>
            </w:r>
          </w:p>
        </w:tc>
      </w:tr>
    </w:tbl>
    <w:p>
      <w:pPr>
        <w:shd w:val="clear" w:color="auto" w:fill="FFFFFF"/>
        <w:spacing w:after="0" w:line="360" w:lineRule="auto"/>
        <w:ind w:firstLine="709"/>
        <w:jc w:val="center"/>
        <w:rPr>
          <w:rFonts w:ascii="Times New Roman" w:hAnsi="Times New Roman" w:eastAsia="Calibri" w:cs="Times New Roman"/>
          <w:sz w:val="28"/>
          <w:szCs w:val="28"/>
          <w:lang w:eastAsia="ru-RU"/>
        </w:rPr>
      </w:pPr>
    </w:p>
    <w:p>
      <w:pPr>
        <w:shd w:val="clear" w:color="auto" w:fill="FFFFFF"/>
        <w:spacing w:after="0" w:line="360" w:lineRule="auto"/>
        <w:ind w:firstLine="709"/>
        <w:jc w:val="center"/>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Рисунок 1. Результаты АВС/XYZ-анализа товаров, товарных позиций</w:t>
      </w:r>
    </w:p>
    <w:p>
      <w:pPr>
        <w:shd w:val="clear" w:color="auto" w:fill="FFFFFF"/>
        <w:spacing w:after="0" w:line="360" w:lineRule="auto"/>
        <w:ind w:firstLine="709"/>
        <w:jc w:val="center"/>
        <w:rPr>
          <w:rFonts w:ascii="Times New Roman" w:hAnsi="Times New Roman" w:eastAsia="Calibri" w:cs="Times New Roman"/>
          <w:sz w:val="28"/>
          <w:szCs w:val="28"/>
          <w:lang w:eastAsia="ru-RU"/>
        </w:rPr>
      </w:pP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Для более компактного представления результатов товарные позиции скомпонованы по категориям. В процентном соотношении 13% ассортимента составляют товары А, 19% - категория В, самая многочисленная группа С – 43 % и оставшиеся 24 % - С1 (D).</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Проведя анализ товаров на предмет товарооборота и частоты потребления, можно сделать выводы об оптимизации складских запасов и их размещения на складе:</w:t>
      </w:r>
    </w:p>
    <w:p>
      <w:pPr>
        <w:widowControl w:val="0"/>
        <w:numPr>
          <w:ilvl w:val="0"/>
          <w:numId w:val="8"/>
        </w:numPr>
        <w:shd w:val="clear" w:color="auto" w:fill="FFFFFF"/>
        <w:autoSpaceDE w:val="0"/>
        <w:autoSpaceDN w:val="0"/>
        <w:spacing w:after="0" w:line="360" w:lineRule="auto"/>
        <w:ind w:left="0"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Товары категорий AX и BX характеризуются стабильным и высоким уровнем продаж, поэтому необходимо обеспечить постоянное наличие товара на складе. Товары  категории динамометрический, пневматический, ручной и электроинструмент, а также сварочное оборудование и специнструмент должны располагаться на нижних ярусах зоны хранения, чтобы был обеспечен быстрый доступ к ним.</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Таблица 1. Распределение категорий товаров по группам АВС/XYZ</w:t>
      </w:r>
    </w:p>
    <w:tbl>
      <w:tblPr>
        <w:tblStyle w:val="16"/>
        <w:tblW w:w="10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3289"/>
        <w:gridCol w:w="2810"/>
        <w:gridCol w:w="3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81"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p>
        </w:tc>
        <w:tc>
          <w:tcPr>
            <w:tcW w:w="3289"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A</w:t>
            </w:r>
          </w:p>
        </w:tc>
        <w:tc>
          <w:tcPr>
            <w:tcW w:w="2810"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B</w:t>
            </w:r>
          </w:p>
        </w:tc>
        <w:tc>
          <w:tcPr>
            <w:tcW w:w="3463"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81"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X</w:t>
            </w:r>
          </w:p>
        </w:tc>
        <w:tc>
          <w:tcPr>
            <w:tcW w:w="3289"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динамометрический, пневматический, ручной,</w:t>
            </w:r>
          </w:p>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sz w:val="28"/>
                <w:szCs w:val="28"/>
                <w:lang w:eastAsia="ru-RU"/>
              </w:rPr>
              <w:t>электроинструмент</w:t>
            </w:r>
          </w:p>
        </w:tc>
        <w:tc>
          <w:tcPr>
            <w:tcW w:w="281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sz w:val="28"/>
                <w:szCs w:val="28"/>
                <w:lang w:eastAsia="ru-RU"/>
              </w:rPr>
              <w:t>сварочный, специнструмент, ручной</w:t>
            </w:r>
          </w:p>
        </w:tc>
        <w:tc>
          <w:tcPr>
            <w:tcW w:w="3463"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оборудование для СТО, абразивный и ручной инструмент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81"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Y</w:t>
            </w:r>
          </w:p>
        </w:tc>
        <w:tc>
          <w:tcPr>
            <w:tcW w:w="3289"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lang w:val="en-US"/>
              </w:rPr>
            </w:pPr>
            <w:r>
              <w:rPr>
                <w:rFonts w:ascii="Times New Roman" w:hAnsi="Times New Roman" w:eastAsia="Calibri" w:cs="Times New Roman"/>
                <w:sz w:val="28"/>
                <w:szCs w:val="28"/>
                <w:lang w:eastAsia="ru-RU"/>
              </w:rPr>
              <w:t>динамометрический, измерительный, металлообрабатывающий</w:t>
            </w:r>
          </w:p>
        </w:tc>
        <w:tc>
          <w:tcPr>
            <w:tcW w:w="281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sz w:val="28"/>
                <w:szCs w:val="28"/>
                <w:lang w:eastAsia="ru-RU"/>
              </w:rPr>
              <w:t>абразивный, гидравлический, измерительный, малярно-кузовной инструмент, оборудование для СТО, технические жидкости и химия</w:t>
            </w:r>
          </w:p>
        </w:tc>
        <w:tc>
          <w:tcPr>
            <w:tcW w:w="3463"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абразивный, </w:t>
            </w:r>
          </w:p>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безопасность труда, гидравлический, измерительный, инвентарь,</w:t>
            </w:r>
          </w:p>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металлообрабатывающий,</w:t>
            </w:r>
          </w:p>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пневматический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81" w:type="dxa"/>
            <w:tcBorders>
              <w:top w:val="single" w:color="auto" w:sz="4" w:space="0"/>
              <w:left w:val="single" w:color="auto" w:sz="4" w:space="0"/>
              <w:bottom w:val="single" w:color="auto" w:sz="4" w:space="0"/>
              <w:right w:val="single" w:color="auto" w:sz="4" w:space="0"/>
            </w:tcBorders>
            <w:shd w:val="clear" w:color="D6E5CB" w:fill="D6E5CB"/>
            <w:noWrap/>
            <w:vAlign w:val="center"/>
          </w:tcPr>
          <w:p>
            <w:pPr>
              <w:spacing w:after="0" w:line="240" w:lineRule="auto"/>
              <w:jc w:val="center"/>
              <w:rPr>
                <w:rFonts w:ascii="Times New Roman" w:hAnsi="Times New Roman" w:eastAsia="Calibri" w:cs="Times New Roman"/>
                <w:b/>
                <w:bCs/>
                <w:color w:val="003F2F"/>
                <w:sz w:val="28"/>
                <w:szCs w:val="28"/>
                <w:lang w:val="en-US"/>
              </w:rPr>
            </w:pPr>
            <w:r>
              <w:rPr>
                <w:rFonts w:ascii="Times New Roman" w:hAnsi="Times New Roman" w:eastAsia="Calibri" w:cs="Times New Roman"/>
                <w:b/>
                <w:bCs/>
                <w:color w:val="003F2F"/>
                <w:sz w:val="28"/>
                <w:szCs w:val="28"/>
                <w:lang w:val="en-US"/>
              </w:rPr>
              <w:t>Z</w:t>
            </w:r>
          </w:p>
        </w:tc>
        <w:tc>
          <w:tcPr>
            <w:tcW w:w="3289"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оборудование для СТО, пневмоинструмент, сварочный, измерительный, динамометрический</w:t>
            </w:r>
          </w:p>
        </w:tc>
        <w:tc>
          <w:tcPr>
            <w:tcW w:w="2810"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абразивный, гидравлический, измерительный, малярно-кузовное оборудование, пневматический инструмент, электроинструмент</w:t>
            </w:r>
          </w:p>
        </w:tc>
        <w:tc>
          <w:tcPr>
            <w:tcW w:w="3463"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абразивный, гидравлический, динамометрический, инвентарь, искробезопасный инструмент, металлообрабатывающий </w:t>
            </w:r>
          </w:p>
        </w:tc>
      </w:tr>
    </w:tbl>
    <w:p>
      <w:pPr>
        <w:shd w:val="clear" w:color="auto" w:fill="FFFFFF"/>
        <w:spacing w:after="0" w:line="360" w:lineRule="auto"/>
        <w:ind w:firstLine="709"/>
        <w:jc w:val="both"/>
        <w:rPr>
          <w:rFonts w:ascii="Times New Roman" w:hAnsi="Times New Roman" w:eastAsia="Calibri" w:cs="Times New Roman"/>
          <w:sz w:val="28"/>
          <w:szCs w:val="28"/>
          <w:lang w:eastAsia="ru-RU"/>
        </w:rPr>
      </w:pP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Проведя анализ товаров на предмет товарооборота и частоты потребления, можно сделать выводы об оптимизации складских запасов и их размещения на складе:</w:t>
      </w:r>
    </w:p>
    <w:p>
      <w:pPr>
        <w:widowControl w:val="0"/>
        <w:numPr>
          <w:ilvl w:val="0"/>
          <w:numId w:val="8"/>
        </w:numPr>
        <w:shd w:val="clear" w:color="auto" w:fill="FFFFFF"/>
        <w:autoSpaceDE w:val="0"/>
        <w:autoSpaceDN w:val="0"/>
        <w:spacing w:after="0" w:line="360" w:lineRule="auto"/>
        <w:ind w:left="0"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Товары категорий AX и BX характеризуются стабильным и высоким уровнем продаж, поэтому необходимо обеспечить постоянное наличие товара на складе. Товары  категории динамометрический, пневматический, ручной и электроинструмент, а также сварочное оборудование и специнструмент должны располагаться на нижних ярусах зоны хранения, чтобы был обеспечен быстрый доступ к ним.</w:t>
      </w:r>
    </w:p>
    <w:p>
      <w:pPr>
        <w:widowControl w:val="0"/>
        <w:numPr>
          <w:ilvl w:val="0"/>
          <w:numId w:val="8"/>
        </w:numPr>
        <w:shd w:val="clear" w:color="auto" w:fill="FFFFFF"/>
        <w:autoSpaceDE w:val="0"/>
        <w:autoSpaceDN w:val="0"/>
        <w:spacing w:after="0" w:line="360" w:lineRule="auto"/>
        <w:ind w:left="0"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Группы АУ и ВУ – это позиции, для которых нужно поддерживать избыточный запас в периоды прогнозируемого роста продаж. Товары группы АУ (динамометрический, измерительный и металлообрабатывающий инструмент) и ВУ (абразивный, гидравлический, измерительный, малярно-кузовное оборудование и для СТО, технические жидкости и химия) нужно также размещать  так, чтобы доступ к товарам занимал меньше времени.</w:t>
      </w:r>
    </w:p>
    <w:p>
      <w:pPr>
        <w:widowControl w:val="0"/>
        <w:numPr>
          <w:ilvl w:val="0"/>
          <w:numId w:val="8"/>
        </w:numPr>
        <w:shd w:val="clear" w:color="auto" w:fill="FFFFFF"/>
        <w:autoSpaceDE w:val="0"/>
        <w:autoSpaceDN w:val="0"/>
        <w:spacing w:after="0" w:line="360" w:lineRule="auto"/>
        <w:ind w:left="0"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Категория AZ и ВZ объединяет товары с нестабильным спросом, закупать их следует фиксированными партиями, чтобы не вызвать переизбыток запасов на складе. Данная стратегия походит для  пневматического, ручного, измерительного и гидравлического инструмента.</w:t>
      </w:r>
    </w:p>
    <w:p>
      <w:pPr>
        <w:widowControl w:val="0"/>
        <w:numPr>
          <w:ilvl w:val="0"/>
          <w:numId w:val="8"/>
        </w:numPr>
        <w:shd w:val="clear" w:color="auto" w:fill="FFFFFF"/>
        <w:autoSpaceDE w:val="0"/>
        <w:autoSpaceDN w:val="0"/>
        <w:spacing w:after="0" w:line="360" w:lineRule="auto"/>
        <w:ind w:left="0"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группу С вошли товары категории абразивного инструмента, оборудование для мастерских и СТО, некоторые позиции ручного инструмента, малярно-кузовное оборудование, пневмоинструмент, гидравлический инструмент и категория товаров для безопасности труда. По данным видам товара нужно минимизировать  запас на складе, так как этот товар составляет 50 % ассортимента, а уровень продаж невысокий, по сравнению с группами А и В. Особое внимание следует уделять группе СZ – выводить из ассортимента залежавшиеся товары, а новинки, попавшие в эту категорию – анализировать по объему продаж.</w:t>
      </w:r>
    </w:p>
    <w:p>
      <w:pPr>
        <w:widowControl w:val="0"/>
        <w:numPr>
          <w:ilvl w:val="0"/>
          <w:numId w:val="8"/>
        </w:numPr>
        <w:shd w:val="clear" w:color="auto" w:fill="FFFFFF"/>
        <w:autoSpaceDE w:val="0"/>
        <w:autoSpaceDN w:val="0"/>
        <w:spacing w:after="0" w:line="360" w:lineRule="auto"/>
        <w:ind w:left="0" w:firstLine="851"/>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Выявлено большое количество позиций категории D (С1) – 25 % запасов на складе. Сюда входят позиции из каждой категории, которые недавно появились в ассортименте компании и товары, не проданные в прошлом и залежавшиеся на складе, как неликвидный товар. Следует исключить данные позиции со склада, ведь они занимают полезное пространство на складе, не принося при этом прибыли компании.</w:t>
      </w:r>
    </w:p>
    <w:p>
      <w:pPr>
        <w:shd w:val="clear" w:color="auto" w:fill="FFFFFF"/>
        <w:spacing w:after="0" w:line="360" w:lineRule="auto"/>
        <w:ind w:firstLine="77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На основании проведенного анализа можно также выявить ряд неточностей метода анализа </w:t>
      </w:r>
      <w:r>
        <w:rPr>
          <w:rFonts w:ascii="Times New Roman" w:hAnsi="Times New Roman" w:eastAsia="Calibri" w:cs="Times New Roman"/>
          <w:sz w:val="28"/>
          <w:szCs w:val="28"/>
          <w:lang w:val="en-US" w:eastAsia="ru-RU"/>
        </w:rPr>
        <w:t>ABC</w:t>
      </w: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XYZ</w:t>
      </w:r>
      <w:r>
        <w:rPr>
          <w:rFonts w:ascii="Times New Roman" w:hAnsi="Times New Roman" w:eastAsia="Calibri" w:cs="Times New Roman"/>
          <w:sz w:val="28"/>
          <w:szCs w:val="28"/>
          <w:lang w:eastAsia="ru-RU"/>
        </w:rPr>
        <w:t>.</w:t>
      </w:r>
    </w:p>
    <w:p>
      <w:pPr>
        <w:shd w:val="clear" w:color="auto" w:fill="FFFFFF"/>
        <w:spacing w:after="0" w:line="360" w:lineRule="auto"/>
        <w:ind w:firstLine="77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Во-первых, принцип Парето не соблюдается на практике применительно к каждой компании, что было выявлено при распределении товаров рассматриваемой организации. Это объясняется спецификой деятельности и номенклатурой реализуемой продукции.</w:t>
      </w:r>
    </w:p>
    <w:p>
      <w:pPr>
        <w:shd w:val="clear" w:color="auto" w:fill="FFFFFF"/>
        <w:spacing w:after="0" w:line="360" w:lineRule="auto"/>
        <w:ind w:firstLine="77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Во-вторых, распределение товаров по группам осуществляется нарастающим итогом. За счет этого 20 % товаров группы А могут составлять не только высоколиквидные товары, но и те, которые «попали» при распределении на границу. Поэтому не следует использовать принцип Парето «вслепую», а необходим детальный анализ продукции компании, учет специфики деятельности и рынка, на котором она работает.</w:t>
      </w:r>
    </w:p>
    <w:p>
      <w:pPr>
        <w:shd w:val="clear" w:color="auto" w:fill="FFFFFF"/>
        <w:spacing w:after="0" w:line="36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Таким образом, совмещенный </w:t>
      </w:r>
      <w:r>
        <w:rPr>
          <w:rFonts w:ascii="Times New Roman" w:hAnsi="Times New Roman" w:eastAsia="Calibri" w:cs="Times New Roman"/>
          <w:sz w:val="28"/>
          <w:szCs w:val="28"/>
          <w:lang w:val="en-US" w:eastAsia="ru-RU"/>
        </w:rPr>
        <w:t>ABC</w:t>
      </w: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XYZ</w:t>
      </w:r>
      <w:r>
        <w:rPr>
          <w:rFonts w:ascii="Times New Roman" w:hAnsi="Times New Roman" w:eastAsia="Calibri" w:cs="Times New Roman"/>
          <w:sz w:val="28"/>
          <w:szCs w:val="28"/>
          <w:lang w:eastAsia="ru-RU"/>
        </w:rPr>
        <w:t xml:space="preserve"> – анализ является универсальным и нетрудоемким методом, находит широкое применение в предпринимательской деятельности и позволяет анализировать не только товары, а также клиентов и работу персонала организации. Однако, главное - границы распределения могут гибко варьироваться в относительно широких пределах, но эти вариации должны учитывать все вышеперечисленные факторы (ассортимент, специфику рынка и деятельности), иначе результаты анализа будут искажены и не позволят сформулировать правильную стратегию сбыта или хранения продукции.</w:t>
      </w:r>
    </w:p>
    <w:p>
      <w:pPr>
        <w:widowControl w:val="0"/>
        <w:autoSpaceDE w:val="0"/>
        <w:autoSpaceDN w:val="0"/>
        <w:spacing w:after="0" w:line="360" w:lineRule="auto"/>
        <w:ind w:firstLine="709"/>
        <w:jc w:val="both"/>
        <w:rPr>
          <w:rFonts w:ascii="Times New Roman" w:hAnsi="Times New Roman" w:eastAsia="Calibri" w:cs="Times New Roman"/>
          <w:sz w:val="28"/>
          <w:szCs w:val="28"/>
          <w:lang w:eastAsia="ru-RU"/>
        </w:rPr>
      </w:pPr>
    </w:p>
    <w:p>
      <w:pPr>
        <w:widowControl w:val="0"/>
        <w:autoSpaceDE w:val="0"/>
        <w:autoSpaceDN w:val="0"/>
        <w:spacing w:after="0" w:line="360" w:lineRule="auto"/>
        <w:ind w:firstLine="709"/>
        <w:jc w:val="center"/>
        <w:rPr>
          <w:rFonts w:ascii="Times New Roman" w:hAnsi="Times New Roman" w:eastAsia="Calibri" w:cs="Times New Roman"/>
          <w:sz w:val="28"/>
          <w:szCs w:val="28"/>
          <w:lang w:eastAsia="ru-RU"/>
        </w:rPr>
      </w:pPr>
      <w:r>
        <w:rPr>
          <w:rFonts w:ascii="Times New Roman" w:hAnsi="Times New Roman" w:eastAsia="Calibri" w:cs="Times New Roman"/>
          <w:b/>
          <w:bCs/>
          <w:sz w:val="28"/>
          <w:szCs w:val="28"/>
          <w:lang w:eastAsia="ru-RU"/>
        </w:rPr>
        <w:t>Библиографический список</w:t>
      </w:r>
    </w:p>
    <w:p>
      <w:pPr>
        <w:widowControl w:val="0"/>
        <w:numPr>
          <w:ilvl w:val="0"/>
          <w:numId w:val="9"/>
        </w:numPr>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В.А. Демин – </w:t>
      </w:r>
      <w:r>
        <w:rPr>
          <w:rFonts w:ascii="Times New Roman" w:hAnsi="Times New Roman" w:eastAsia="Calibri" w:cs="Times New Roman"/>
          <w:sz w:val="28"/>
          <w:szCs w:val="28"/>
          <w:lang w:val="en-US" w:eastAsia="ru-RU"/>
        </w:rPr>
        <w:t>LogBook</w:t>
      </w:r>
      <w:r>
        <w:rPr>
          <w:rFonts w:ascii="Times New Roman" w:hAnsi="Times New Roman" w:eastAsia="Calibri" w:cs="Times New Roman"/>
          <w:sz w:val="28"/>
          <w:szCs w:val="28"/>
          <w:lang w:eastAsia="ru-RU"/>
        </w:rPr>
        <w:t xml:space="preserve"> - настольная книга для организации логистики склада. - Координационный совет по логистике. – 2019. – 236 с.</w:t>
      </w:r>
    </w:p>
    <w:p>
      <w:pPr>
        <w:widowControl w:val="0"/>
        <w:numPr>
          <w:ilvl w:val="0"/>
          <w:numId w:val="9"/>
        </w:numPr>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Е.С. Юдникова - Коммерческая деятельность: учебное пособие / Е. С. Юдникова, Ю. Н. Панова. - Санкт-Петербург : ФГБОУ ВПО ПГУПС. – 2016 г. – 46 с.</w:t>
      </w:r>
    </w:p>
    <w:p>
      <w:pPr>
        <w:widowControl w:val="0"/>
        <w:numPr>
          <w:ilvl w:val="0"/>
          <w:numId w:val="9"/>
        </w:numPr>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Е. С. Юдникова - Управление закупками и запасами [Электронный ресурс] : учебное пособие. Санкт-Петербург : ПГУПС (Петербургский государственный университет путей сообщения), 2017. – 72 с.</w:t>
      </w:r>
    </w:p>
    <w:p>
      <w:pPr>
        <w:widowControl w:val="0"/>
        <w:numPr>
          <w:ilvl w:val="0"/>
          <w:numId w:val="9"/>
        </w:numPr>
        <w:autoSpaceDE w:val="0"/>
        <w:autoSpaceDN w:val="0"/>
        <w:spacing w:after="0" w:line="360" w:lineRule="auto"/>
        <w:ind w:left="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Е.А. Бузукова, С.В.Сысоева – Категорийный менеджмент. Курс управления ассортиментом в рознице - ПИТЕР – 2015. – 460 с.</w:t>
      </w:r>
    </w:p>
    <w:p>
      <w:pPr>
        <w:spacing w:after="0"/>
        <w:rPr>
          <w:rFonts w:ascii="Times New Roman" w:hAnsi="Times New Roman" w:eastAsia="Calibri" w:cs="Times New Roman"/>
          <w:sz w:val="28"/>
          <w:szCs w:val="28"/>
        </w:rPr>
      </w:pPr>
      <w:r>
        <w:rPr>
          <w:rFonts w:ascii="Times New Roman" w:hAnsi="Times New Roman" w:eastAsia="Calibri" w:cs="Times New Roman"/>
          <w:sz w:val="28"/>
          <w:szCs w:val="28"/>
        </w:rPr>
        <w:br w:type="page"/>
      </w:r>
    </w:p>
    <w:p>
      <w:pPr>
        <w:spacing w:after="0" w:line="360" w:lineRule="auto"/>
        <w:jc w:val="right"/>
        <w:rPr>
          <w:rFonts w:ascii="Times New Roman" w:hAnsi="Times New Roman" w:eastAsia="Calibri" w:cs="Times New Roman"/>
          <w:b/>
          <w:sz w:val="28"/>
          <w:szCs w:val="28"/>
        </w:rPr>
      </w:pPr>
      <w:r>
        <w:rPr>
          <w:rFonts w:ascii="Times New Roman" w:hAnsi="Times New Roman" w:eastAsia="Calibri" w:cs="Times New Roman"/>
          <w:b/>
          <w:sz w:val="28"/>
          <w:szCs w:val="28"/>
        </w:rPr>
        <w:t>Н.С. Матвеев</w:t>
      </w:r>
      <w:r>
        <w:rPr>
          <w:rFonts w:ascii="Times New Roman" w:hAnsi="Times New Roman" w:eastAsia="Calibri" w:cs="Times New Roman"/>
          <w:b/>
          <w:sz w:val="28"/>
          <w:szCs w:val="28"/>
          <w:vertAlign w:val="superscript"/>
        </w:rPr>
        <w:t>*</w:t>
      </w:r>
      <w:r>
        <w:rPr>
          <w:rFonts w:ascii="Times New Roman" w:hAnsi="Times New Roman" w:eastAsia="Calibri" w:cs="Times New Roman"/>
          <w:b/>
          <w:sz w:val="28"/>
          <w:szCs w:val="28"/>
        </w:rPr>
        <w:t>, А.П. Бадецкий**</w:t>
      </w:r>
    </w:p>
    <w:p>
      <w:pPr>
        <w:spacing w:after="0" w:line="360" w:lineRule="auto"/>
        <w:jc w:val="right"/>
        <w:rPr>
          <w:rFonts w:ascii="Times New Roman" w:hAnsi="Times New Roman" w:eastAsia="Calibri" w:cs="Times New Roman"/>
          <w:sz w:val="28"/>
        </w:rPr>
      </w:pPr>
      <w:r>
        <w:rPr>
          <w:rFonts w:ascii="Times New Roman" w:hAnsi="Times New Roman" w:eastAsia="Calibri" w:cs="Times New Roman"/>
          <w:sz w:val="28"/>
        </w:rPr>
        <w:t xml:space="preserve">*Транспортно-экспедиторская компания «ООО Балт-Плюс РЕГИОН», **Петербургский государственный университет путей сообщения </w:t>
      </w:r>
    </w:p>
    <w:p>
      <w:pPr>
        <w:spacing w:after="0" w:line="360" w:lineRule="auto"/>
        <w:jc w:val="right"/>
        <w:rPr>
          <w:rFonts w:ascii="Times New Roman" w:hAnsi="Times New Roman" w:eastAsia="Calibri" w:cs="Times New Roman"/>
          <w:sz w:val="28"/>
        </w:rPr>
      </w:pPr>
      <w:r>
        <w:rPr>
          <w:rFonts w:ascii="Times New Roman" w:hAnsi="Times New Roman" w:eastAsia="Calibri" w:cs="Times New Roman"/>
          <w:sz w:val="28"/>
        </w:rPr>
        <w:t xml:space="preserve">Императора Александра I, </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Санкт-Петербург, Россия</w:t>
      </w:r>
    </w:p>
    <w:p>
      <w:pPr>
        <w:spacing w:after="0" w:line="360" w:lineRule="auto"/>
        <w:jc w:val="right"/>
        <w:rPr>
          <w:rFonts w:ascii="Times New Roman" w:hAnsi="Times New Roman" w:eastAsia="Calibri" w:cs="Times New Roman"/>
          <w:sz w:val="28"/>
        </w:rPr>
      </w:pPr>
      <w:r>
        <w:rPr>
          <w:rFonts w:ascii="Times New Roman" w:hAnsi="Times New Roman" w:eastAsia="Calibri" w:cs="Times New Roman"/>
          <w:sz w:val="28"/>
        </w:rPr>
        <w:t>*аспирант, инженер-технолог</w:t>
      </w:r>
    </w:p>
    <w:p>
      <w:pPr>
        <w:spacing w:after="0" w:line="360" w:lineRule="auto"/>
        <w:ind w:firstLine="709"/>
        <w:jc w:val="right"/>
        <w:rPr>
          <w:rFonts w:ascii="Times New Roman" w:hAnsi="Times New Roman" w:eastAsia="Calibri" w:cs="Times New Roman"/>
          <w:sz w:val="28"/>
          <w:szCs w:val="28"/>
        </w:rPr>
      </w:pPr>
      <w:r>
        <w:rPr>
          <w:rFonts w:ascii="Times New Roman" w:hAnsi="Times New Roman" w:eastAsia="Calibri" w:cs="Times New Roman"/>
          <w:sz w:val="28"/>
          <w:szCs w:val="28"/>
        </w:rPr>
        <w:t>**кандидат технических наук, доцент</w:t>
      </w:r>
    </w:p>
    <w:p>
      <w:pPr>
        <w:spacing w:after="0" w:line="240" w:lineRule="auto"/>
        <w:jc w:val="center"/>
        <w:rPr>
          <w:rFonts w:ascii="Times New Roman" w:hAnsi="Times New Roman" w:eastAsia="Calibri" w:cs="Times New Roman"/>
          <w:sz w:val="28"/>
        </w:rPr>
      </w:pPr>
    </w:p>
    <w:p>
      <w:pPr>
        <w:pStyle w:val="2"/>
        <w:spacing w:before="0"/>
        <w:jc w:val="center"/>
        <w:rPr>
          <w:rFonts w:ascii="Times New Roman" w:hAnsi="Times New Roman" w:eastAsia="Calibri"/>
          <w:b/>
          <w:sz w:val="28"/>
          <w:szCs w:val="28"/>
        </w:rPr>
      </w:pPr>
      <w:bookmarkStart w:id="12" w:name="_Toc37266320"/>
      <w:r>
        <w:rPr>
          <w:rFonts w:ascii="Times New Roman" w:hAnsi="Times New Roman" w:eastAsia="Calibri"/>
          <w:b/>
          <w:color w:val="auto"/>
          <w:sz w:val="28"/>
          <w:szCs w:val="28"/>
        </w:rPr>
        <w:t>ПРИМЕНЕНИЕ МАШИННОГО ЗРЕНИЯ ПРИ ПРОВЕДЕНИИ КОММЕРЧЕСКОГО ОСМОТРА ВАГОНОВ</w:t>
      </w:r>
      <w:bookmarkEnd w:id="12"/>
    </w:p>
    <w:p>
      <w:pPr>
        <w:spacing w:after="0" w:line="360" w:lineRule="auto"/>
        <w:ind w:firstLine="709"/>
        <w:rPr>
          <w:rFonts w:ascii="Times New Roman" w:hAnsi="Times New Roman" w:eastAsia="Calibri" w:cs="Times New Roman"/>
          <w:b/>
          <w:sz w:val="28"/>
          <w:szCs w:val="28"/>
        </w:rPr>
      </w:pP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b/>
          <w:sz w:val="28"/>
          <w:szCs w:val="28"/>
        </w:rPr>
        <w:t xml:space="preserve">Аннотация: </w:t>
      </w:r>
      <w:r>
        <w:rPr>
          <w:rFonts w:ascii="Times New Roman" w:hAnsi="Times New Roman" w:eastAsia="Calibri" w:cs="Times New Roman"/>
          <w:sz w:val="28"/>
          <w:szCs w:val="28"/>
        </w:rPr>
        <w:t xml:space="preserve">Цифровизация транспортного комплекса Российской Федерации подразумевает под собой применение передовых современных технологий на всех этапах перевозочного процесса. Одной их таких технологий являются искусственные нейронные сети, благодаря возможностям которых можно повысить качество и скорость коммерческого осмотра вагонов на технических станциях. </w:t>
      </w:r>
    </w:p>
    <w:p>
      <w:pPr>
        <w:suppressAutoHyphens/>
        <w:spacing w:after="0" w:line="360" w:lineRule="auto"/>
        <w:ind w:firstLine="709"/>
        <w:jc w:val="both"/>
        <w:rPr>
          <w:rFonts w:ascii="Times New Roman" w:hAnsi="Times New Roman" w:eastAsia="Calibri" w:cs="Times New Roman"/>
          <w:sz w:val="28"/>
          <w:szCs w:val="28"/>
        </w:rPr>
      </w:pP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b/>
          <w:sz w:val="28"/>
          <w:szCs w:val="28"/>
        </w:rPr>
        <w:t>Ключевые слова:</w:t>
      </w:r>
      <w:r>
        <w:rPr>
          <w:rFonts w:ascii="Times New Roman" w:hAnsi="Times New Roman" w:eastAsia="Calibri" w:cs="Times New Roman"/>
          <w:sz w:val="28"/>
          <w:szCs w:val="28"/>
        </w:rPr>
        <w:t xml:space="preserve"> роботизация, коммерческий осмотр, машинное зрение, искусственные нейронные сети</w:t>
      </w:r>
    </w:p>
    <w:p>
      <w:pPr>
        <w:suppressAutoHyphens/>
        <w:spacing w:after="0" w:line="240" w:lineRule="auto"/>
        <w:ind w:firstLine="709"/>
        <w:rPr>
          <w:rFonts w:ascii="Times New Roman" w:hAnsi="Times New Roman" w:eastAsia="Calibri" w:cs="Times New Roman"/>
          <w:sz w:val="28"/>
          <w:szCs w:val="28"/>
        </w:rPr>
      </w:pP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Задачи, поставленные Правительством страны в программе «Цифровая экономика Российской Федерации», привели к необходимости пересмотра структуры холдинга ОАО «РЖД». В итоге этой аналитической деятельности была разработана концепция цифровой железной дороги, где основой перевозочного процесса являются современные информационные технологии и специализированные системы управления сферами деятельности. Цифровые решения задач, возникающих в процессе перевозки груза, несомненно, влекут за собой необходимость реинжиниринга существующих процессов.</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Новая концепция холдинга выделяет пять взаимосвязанных функциональных областей [2]:</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грузовые перевозки;</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пассажирские перевозки;</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управление движением;</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управление инфраструктурой;</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управление холдингом.</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 части грузовых перевозок интересующими нас сервисными блоками являются: завоз/погрузка, выгрузка/вывоз. По сути, эти блоки являются начально-конечными точками входа в процесс, не считая погрузки (так как первичными по отношению к ней будут все-таки договор и заявка на перевозку). Так же, как и в пути следования, в этих начально-конечных точках процесса перевозки в обязательном порядке осуществляется коммерческий и технический осмотр вагонов. При этом технология его проведения значительно разнится в зависимости от класса станции и доступных человеческих ресурсов. </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На крупных грузовых станциях для осуществления коммерческого осмотра используются системы АСКОПВ и АСКОПВ 3</w:t>
      </w:r>
      <w:r>
        <w:rPr>
          <w:rFonts w:ascii="Times New Roman" w:hAnsi="Times New Roman" w:eastAsia="Calibri" w:cs="Times New Roman"/>
          <w:sz w:val="28"/>
          <w:szCs w:val="28"/>
          <w:lang w:val="en-US"/>
        </w:rPr>
        <w:t>D</w:t>
      </w:r>
      <w:r>
        <w:rPr>
          <w:rFonts w:ascii="Times New Roman" w:hAnsi="Times New Roman" w:eastAsia="Calibri" w:cs="Times New Roman"/>
          <w:sz w:val="28"/>
          <w:szCs w:val="28"/>
        </w:rPr>
        <w:t xml:space="preserve">. При этом второй вариант предусматривает наличие системы машинного зрения для распознавания ограниченного ряда коммерческих неисправностей. Тем не менее, стоит отметить, что подавляющее большинство станций не оснащено данными системами и осмотр производится вручную, что, опять же, в зависимости от доступных на станции человеческих ресурсов, технологии их работы, может приводить к ошибкам. Если осмотрщик вследствие усталости ошибочно определил неисправный в коммерческом отношении вагон как исправный, то отследить затем, где в процессе перевозки была допущена ошибка, практически невозможно.  </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 концепции железной дороги предусмотрен такой класс решений, как малолюдные и безлюдные средства управления процессами. Он призван минимизировать влияние человеческого фактора путем сокращения точек входа в процесс за счет стандартизации и автоматизации шагов процессов, достигаемой в ходе развития средств онлайн-контроля и т.д. На наш взгляд, для процесса «коммерческий осмотр поездов и вагонов» таким средством может быть применение беспилотных летательных аппаратов (БПЛА). </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Для конкретного примера рассмотрим применение БПЛА модели Hubsan X4 H109S Pro применительно к коммерческому осмотру поездов на станции Шушары.  </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Данный БПЛА снабжен штатной камерой и может поднимать груз массой 270 грамм, что позволит установить на него блок управления с программой для выполнения коммерческого осмотра с помощью машинного зрения. Например, стандартный микрокомпьютер </w:t>
      </w:r>
      <w:r>
        <w:rPr>
          <w:rFonts w:ascii="Times New Roman" w:hAnsi="Times New Roman" w:eastAsia="Calibri" w:cs="Times New Roman"/>
          <w:sz w:val="28"/>
          <w:szCs w:val="28"/>
          <w:lang w:val="en-US"/>
        </w:rPr>
        <w:t>Raspberry</w:t>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val="en-US"/>
        </w:rPr>
        <w:t>Pi</w:t>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val="en-US"/>
        </w:rPr>
        <w:t>Model</w:t>
      </w:r>
      <w:r>
        <w:rPr>
          <w:rFonts w:ascii="Times New Roman" w:hAnsi="Times New Roman" w:eastAsia="Calibri" w:cs="Times New Roman"/>
          <w:sz w:val="28"/>
          <w:szCs w:val="28"/>
        </w:rPr>
        <w:t xml:space="preserve"> 3 весит 45 грамм, портативная аккумуляторная батарея на 5000 мАч – 156 грамм. Такой состав блока управления позволит микрокомпьютеру функционировать без подзарядки более 24 часов [4].</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На станции Шушары средняя длина обрабатываемых составов составляет 825 метров [7]. Программы машинного зрения способны распознавать объекты на фотографиях за время равное менее одной секунды, порой все зависит от качества картинки Среднее междупутное расстояние в приемоотправочном парке и парке приема составляет 5,3 метра, что при занятии двух смежных путей составами позволяет сохранить 2 метра свободного места между стенками вагона. Данное пространство можно использовать для воздушного коридора БПЛА с расстоянием съемки бортовых стенок вагонов в 1500 мм и высотой съемки 2346 мм (половина высоты крытого вагона). При этом на камеру с углом обзора в 132 градуса, при горизонтальной съемке, будет поступать картинка борта вагона высотой в 3300 мм и шириной в 5875 мм. Это позволит снимать почти любой подвижной состав в «полный рост» с расстояния в 1,5 метра. При возможности съемки борта подвижного состава в один заход при таких углах обзора, и, даже, с остановками в 1 секунду для обработки картинки, при средней скорости в 15 км/ч при перелетах, время облета одного борта будет составлять 198 секунд на движение и 140 секунд на обработку данных. Если же соседний путь будет свободен, то можно увеличить расстояние съемки и отснять состав полностью, если в этом есть необходимость. Так же, для обеспечения полного обзора подвижного состава в один кадр по вертикали, можно осуществлять съемку под небольшим горизонтальным углом (сверху вниз). </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Для позиционирования БПЛА относительно осматриваемого состава можно применять как радиолокационные метки, расположенные в междупутьях парка, так и встроенную систему </w:t>
      </w:r>
      <w:r>
        <w:rPr>
          <w:rFonts w:ascii="Times New Roman" w:hAnsi="Times New Roman" w:eastAsia="Calibri" w:cs="Times New Roman"/>
          <w:sz w:val="28"/>
          <w:szCs w:val="28"/>
          <w:lang w:val="en-US"/>
        </w:rPr>
        <w:t>GPS</w:t>
      </w:r>
      <w:r>
        <w:rPr>
          <w:rFonts w:ascii="Times New Roman" w:hAnsi="Times New Roman" w:eastAsia="Calibri" w:cs="Times New Roman"/>
          <w:sz w:val="28"/>
          <w:szCs w:val="28"/>
        </w:rPr>
        <w:t xml:space="preserve">-позиционирования. </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Количество дронов на один парк зависит от количества обрабатываемых составов в данном парке за сутки. Время полного осмотра подвижного состава одним БПЛА составляет 12 минут. В это время входит движение к точке начала осмотра от первого радиолокационного маяка и обратно, а также осмотр состава с двух сторон. Таким образом, видно, что между подзарядками аккумулятора БПЛА можно осуществить три полных осмотра, что составит 36 мин. Время зарядки аккумуляторной батареи составляет 1 ч.</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При интервале поступления поездов в парк больше либо равным циклу осмотра состава одним БПЛА (на станции Шушары 12 мин), для постоянного обеспечения всей системы хотя бы одним заряженным беспилотным устройством, количество БПЛА на один парк рассчитывается по формуле:</w:t>
      </w:r>
    </w:p>
    <w:p>
      <w:pPr>
        <w:spacing w:after="0" w:line="360" w:lineRule="auto"/>
        <w:ind w:firstLine="709"/>
        <w:jc w:val="both"/>
        <w:rPr>
          <w:rFonts w:ascii="Times New Roman" w:hAnsi="Times New Roman" w:eastAsia="Calibri" w:cs="Times New Roman"/>
          <w:sz w:val="28"/>
          <w:szCs w:val="28"/>
        </w:rPr>
      </w:pPr>
    </w:p>
    <w:p>
      <w:pPr>
        <w:spacing w:after="0" w:line="360" w:lineRule="auto"/>
        <w:ind w:firstLine="708"/>
        <w:jc w:val="center"/>
        <w:rPr>
          <w:rFonts w:ascii="Times New Roman" w:hAnsi="Times New Roman" w:eastAsia="Calibri" w:cs="Times New Roman"/>
          <w:sz w:val="28"/>
          <w:szCs w:val="28"/>
        </w:rPr>
      </w:pPr>
      <w:r>
        <w:rPr>
          <w:rFonts w:ascii="Times New Roman" w:hAnsi="Times New Roman" w:eastAsia="Calibri" w:cs="Times New Roman"/>
          <w:position w:val="-34"/>
          <w:sz w:val="28"/>
          <w:szCs w:val="28"/>
        </w:rPr>
        <w:object>
          <v:shape id="_x0000_i1025" o:spt="75" type="#_x0000_t75" style="height:42.75pt;width:171pt;" o:ole="t" filled="f" coordsize="21600,21600">
            <v:path/>
            <v:fill on="f" focussize="0,0"/>
            <v:stroke/>
            <v:imagedata r:id="rId13" o:title=""/>
            <o:lock v:ext="edit" aspectratio="t"/>
            <w10:wrap type="none"/>
            <w10:anchorlock/>
          </v:shape>
          <o:OLEObject Type="Embed" ProgID="Equation.DSMT4" ShapeID="_x0000_i1025" DrawAspect="Content" ObjectID="_1468075725" r:id="rId12">
            <o:LockedField>false</o:LockedField>
          </o:OLEObject>
        </w:objec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ab/>
      </w:r>
      <w:r>
        <w:rPr>
          <w:rFonts w:ascii="Times New Roman" w:hAnsi="Times New Roman" w:eastAsia="Calibri" w:cs="Times New Roman"/>
          <w:sz w:val="28"/>
          <w:szCs w:val="28"/>
        </w:rPr>
        <w:tab/>
      </w:r>
      <w:r>
        <w:rPr>
          <w:rFonts w:ascii="Times New Roman" w:hAnsi="Times New Roman" w:eastAsia="Calibri" w:cs="Times New Roman"/>
          <w:sz w:val="28"/>
          <w:szCs w:val="28"/>
        </w:rPr>
        <w:tab/>
      </w:r>
      <w:r>
        <w:rPr>
          <w:rFonts w:ascii="Times New Roman" w:hAnsi="Times New Roman" w:eastAsia="Calibri" w:cs="Times New Roman"/>
          <w:sz w:val="28"/>
          <w:szCs w:val="28"/>
        </w:rPr>
        <w:tab/>
      </w:r>
      <w:r>
        <w:rPr>
          <w:rFonts w:ascii="Times New Roman" w:hAnsi="Times New Roman" w:eastAsia="Calibri" w:cs="Times New Roman"/>
          <w:sz w:val="28"/>
          <w:szCs w:val="28"/>
        </w:rPr>
        <w:t>(1)</w:t>
      </w:r>
    </w:p>
    <w:p>
      <w:pPr>
        <w:spacing w:after="0" w:line="360" w:lineRule="auto"/>
        <w:ind w:firstLine="709"/>
        <w:jc w:val="both"/>
        <w:rPr>
          <w:rFonts w:ascii="Times New Roman" w:hAnsi="Times New Roman" w:eastAsia="Calibri" w:cs="Times New Roman"/>
          <w:sz w:val="28"/>
          <w:szCs w:val="28"/>
        </w:rPr>
      </w:pP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где </w:t>
      </w:r>
      <w:r>
        <w:rPr>
          <w:rFonts w:ascii="Times New Roman" w:hAnsi="Times New Roman" w:eastAsia="Calibri" w:cs="Times New Roman"/>
          <w:position w:val="-14"/>
          <w:sz w:val="28"/>
          <w:szCs w:val="28"/>
        </w:rPr>
        <w:object>
          <v:shape id="_x0000_i1026" o:spt="75" type="#_x0000_t75" style="height:24pt;width:27pt;" o:ole="t" filled="f" coordsize="21600,21600">
            <v:path/>
            <v:fill on="f" focussize="0,0"/>
            <v:stroke/>
            <v:imagedata r:id="rId15" o:title=""/>
            <o:lock v:ext="edit" aspectratio="t"/>
            <w10:wrap type="none"/>
            <w10:anchorlock/>
          </v:shape>
          <o:OLEObject Type="Embed" ProgID="Equation.DSMT4" ShapeID="_x0000_i1026" DrawAspect="Content" ObjectID="_1468075726" r:id="rId14">
            <o:LockedField>false</o:LockedField>
          </o:OLEObject>
        </w:object>
      </w:r>
      <w:r>
        <w:rPr>
          <w:rFonts w:ascii="Times New Roman" w:hAnsi="Times New Roman" w:eastAsia="Calibri" w:cs="Times New Roman"/>
          <w:sz w:val="28"/>
          <w:szCs w:val="28"/>
        </w:rPr>
        <w:t xml:space="preserve"> — округление до целого числа в меньшую сторону, </w:t>
      </w:r>
      <m:oMath>
        <m:r>
          <w:rPr>
            <w:rFonts w:ascii="Cambria Math" w:hAnsi="Cambria Math" w:eastAsia="Calibri" w:cs="Times New Roman"/>
            <w:sz w:val="28"/>
            <w:szCs w:val="28"/>
          </w:rPr>
          <m:t>C</m:t>
        </m:r>
      </m:oMath>
      <w:r>
        <w:rPr>
          <w:rFonts w:ascii="Times New Roman" w:hAnsi="Times New Roman" w:eastAsia="Calibri" w:cs="Times New Roman"/>
          <w:sz w:val="28"/>
          <w:szCs w:val="28"/>
        </w:rPr>
        <w:t xml:space="preserve"> – время цикла осмотра одного состава БПЛА, мин, </w:t>
      </w:r>
      <w:r>
        <w:rPr>
          <w:rFonts w:ascii="Times New Roman" w:hAnsi="Times New Roman" w:eastAsia="Calibri" w:cs="Times New Roman"/>
          <w:i/>
          <w:sz w:val="28"/>
          <w:szCs w:val="28"/>
          <w:lang w:val="en-US"/>
        </w:rPr>
        <w:t>I</w:t>
      </w:r>
      <w:r>
        <w:rPr>
          <w:rFonts w:ascii="Times New Roman" w:hAnsi="Times New Roman" w:eastAsia="Calibri" w:cs="Times New Roman"/>
          <w:sz w:val="28"/>
          <w:szCs w:val="28"/>
        </w:rPr>
        <w:t xml:space="preserve"> – интервал прибытия поездов в парк, мин, </w:t>
      </w:r>
      <w:r>
        <w:rPr>
          <w:rFonts w:ascii="Times New Roman" w:hAnsi="Times New Roman" w:eastAsia="Calibri" w:cs="Times New Roman"/>
          <w:position w:val="-12"/>
          <w:sz w:val="28"/>
          <w:szCs w:val="28"/>
        </w:rPr>
        <w:object>
          <v:shape id="_x0000_i1027" o:spt="75" type="#_x0000_t75" style="height:18.75pt;width:14.25pt;" o:ole="t" filled="f" coordsize="21600,21600">
            <v:path/>
            <v:fill on="f" focussize="0,0"/>
            <v:stroke/>
            <v:imagedata r:id="rId17" o:title=""/>
            <o:lock v:ext="edit" aspectratio="t"/>
            <w10:wrap type="none"/>
            <w10:anchorlock/>
          </v:shape>
          <o:OLEObject Type="Embed" ProgID="Equation.DSMT4" ShapeID="_x0000_i1027" DrawAspect="Content" ObjectID="_1468075727" r:id="rId16">
            <o:LockedField>false</o:LockedField>
          </o:OLEObject>
        </w:object>
      </w:r>
      <w:r>
        <w:rPr>
          <w:rFonts w:ascii="Times New Roman" w:hAnsi="Times New Roman" w:eastAsia="Calibri" w:cs="Times New Roman"/>
          <w:sz w:val="28"/>
          <w:szCs w:val="28"/>
        </w:rPr>
        <w:t xml:space="preserve"> – время зарядки аккумуляторной батареи БПЛА, мин, </w:t>
      </w:r>
      <w:r>
        <w:rPr>
          <w:rFonts w:ascii="Times New Roman" w:hAnsi="Times New Roman" w:eastAsia="Calibri" w:cs="Times New Roman"/>
          <w:position w:val="-12"/>
          <w:sz w:val="28"/>
          <w:szCs w:val="28"/>
        </w:rPr>
        <w:object>
          <v:shape id="_x0000_i1028" o:spt="75" type="#_x0000_t75" style="height:18.75pt;width:24.75pt;" o:ole="t" filled="f" coordsize="21600,21600">
            <v:path/>
            <v:fill on="f" focussize="0,0"/>
            <v:stroke/>
            <v:imagedata r:id="rId19" o:title=""/>
            <o:lock v:ext="edit" aspectratio="t"/>
            <w10:wrap type="none"/>
            <w10:anchorlock/>
          </v:shape>
          <o:OLEObject Type="Embed" ProgID="Equation.DSMT4" ShapeID="_x0000_i1028" DrawAspect="Content" ObjectID="_1468075728" r:id="rId18">
            <o:LockedField>false</o:LockedField>
          </o:OLEObject>
        </w:object>
      </w:r>
      <w:r>
        <w:rPr>
          <w:rFonts w:ascii="Times New Roman" w:hAnsi="Times New Roman" w:eastAsia="Calibri" w:cs="Times New Roman"/>
          <w:sz w:val="28"/>
          <w:szCs w:val="28"/>
        </w:rPr>
        <w:t xml:space="preserve"> – количество составов, которое может осмотреть один БПЛА без подзарядки аккумуляторной батареи.</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При интервале поступления поездов в парк меньше либо равным половине цикла осмотра состава одним БПЛА, необходимо использовать формулу:</w:t>
      </w:r>
    </w:p>
    <w:p>
      <w:pPr>
        <w:spacing w:after="0" w:line="360" w:lineRule="auto"/>
        <w:ind w:firstLine="709"/>
        <w:jc w:val="both"/>
        <w:rPr>
          <w:rFonts w:ascii="Times New Roman" w:hAnsi="Times New Roman" w:eastAsia="Calibri" w:cs="Times New Roman"/>
          <w:sz w:val="28"/>
          <w:szCs w:val="28"/>
        </w:rPr>
      </w:pPr>
    </w:p>
    <w:p>
      <w:pPr>
        <w:spacing w:after="0" w:line="360" w:lineRule="auto"/>
        <w:ind w:firstLine="708"/>
        <w:jc w:val="center"/>
        <w:rPr>
          <w:rFonts w:ascii="Times New Roman" w:hAnsi="Times New Roman" w:eastAsia="Calibri" w:cs="Times New Roman"/>
          <w:sz w:val="28"/>
          <w:szCs w:val="28"/>
        </w:rPr>
      </w:pPr>
      <w:r>
        <w:rPr>
          <w:rFonts w:ascii="Times New Roman" w:hAnsi="Times New Roman" w:eastAsia="Calibri" w:cs="Times New Roman"/>
          <w:position w:val="-34"/>
          <w:sz w:val="28"/>
          <w:szCs w:val="28"/>
        </w:rPr>
        <w:object>
          <v:shape id="_x0000_i1029" o:spt="75" type="#_x0000_t75" style="height:42.75pt;width:170.25pt;" o:ole="t" filled="f" coordsize="21600,21600">
            <v:path/>
            <v:fill on="f" focussize="0,0"/>
            <v:stroke/>
            <v:imagedata r:id="rId21" o:title=""/>
            <o:lock v:ext="edit" aspectratio="t"/>
            <w10:wrap type="none"/>
            <w10:anchorlock/>
          </v:shape>
          <o:OLEObject Type="Embed" ProgID="Equation.DSMT4" ShapeID="_x0000_i1029" DrawAspect="Content" ObjectID="_1468075729" r:id="rId20">
            <o:LockedField>false</o:LockedField>
          </o:OLEObject>
        </w:objec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ab/>
      </w:r>
      <w:r>
        <w:rPr>
          <w:rFonts w:ascii="Times New Roman" w:hAnsi="Times New Roman" w:eastAsia="Calibri" w:cs="Times New Roman"/>
          <w:sz w:val="28"/>
          <w:szCs w:val="28"/>
        </w:rPr>
        <w:tab/>
      </w:r>
      <w:r>
        <w:rPr>
          <w:rFonts w:ascii="Times New Roman" w:hAnsi="Times New Roman" w:eastAsia="Calibri" w:cs="Times New Roman"/>
          <w:sz w:val="28"/>
          <w:szCs w:val="28"/>
        </w:rPr>
        <w:tab/>
      </w:r>
      <w:r>
        <w:rPr>
          <w:rFonts w:ascii="Times New Roman" w:hAnsi="Times New Roman" w:eastAsia="Calibri" w:cs="Times New Roman"/>
          <w:sz w:val="28"/>
          <w:szCs w:val="28"/>
        </w:rPr>
        <w:tab/>
      </w:r>
      <w:r>
        <w:rPr>
          <w:rFonts w:ascii="Times New Roman" w:hAnsi="Times New Roman" w:eastAsia="Calibri" w:cs="Times New Roman"/>
          <w:sz w:val="28"/>
          <w:szCs w:val="28"/>
        </w:rPr>
        <w:tab/>
      </w:r>
      <w:r>
        <w:rPr>
          <w:rFonts w:ascii="Times New Roman" w:hAnsi="Times New Roman" w:eastAsia="Calibri" w:cs="Times New Roman"/>
          <w:sz w:val="28"/>
          <w:szCs w:val="28"/>
        </w:rPr>
        <w:t>(2)</w:t>
      </w:r>
    </w:p>
    <w:p>
      <w:pPr>
        <w:spacing w:after="0" w:line="360" w:lineRule="auto"/>
        <w:ind w:firstLine="709"/>
        <w:jc w:val="both"/>
        <w:rPr>
          <w:rFonts w:ascii="Times New Roman" w:hAnsi="Times New Roman" w:eastAsia="Calibri" w:cs="Times New Roman"/>
          <w:sz w:val="28"/>
          <w:szCs w:val="28"/>
        </w:rPr>
      </w:pP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БПЛА должны использоваться последовательно, до разрядки батареи. После разрядки первого БПЛА, рационально начать использование второго, чтобы предотвратить разрядку всех БПЛА одновременно. При </w:t>
      </w:r>
      <w:r>
        <w:rPr>
          <w:rFonts w:ascii="Times New Roman" w:hAnsi="Times New Roman" w:eastAsia="Calibri" w:cs="Times New Roman"/>
          <w:i/>
          <w:sz w:val="28"/>
          <w:szCs w:val="28"/>
          <w:lang w:val="en-US"/>
        </w:rPr>
        <w:t>I</w:t>
      </w:r>
      <w:r>
        <w:rPr>
          <w:rFonts w:ascii="Times New Roman" w:hAnsi="Times New Roman" w:eastAsia="Calibri" w:cs="Times New Roman"/>
          <w:i/>
          <w:sz w:val="28"/>
          <w:szCs w:val="28"/>
        </w:rPr>
        <w:t>&lt;</w:t>
      </w:r>
      <w:r>
        <w:rPr>
          <w:rFonts w:ascii="Times New Roman" w:hAnsi="Times New Roman" w:eastAsia="Calibri" w:cs="Times New Roman"/>
          <w:i/>
          <w:sz w:val="28"/>
          <w:szCs w:val="28"/>
          <w:lang w:val="en-US"/>
        </w:rPr>
        <w:t>C</w:t>
      </w:r>
      <w:r>
        <w:rPr>
          <w:rFonts w:ascii="Times New Roman" w:hAnsi="Times New Roman" w:eastAsia="Calibri" w:cs="Times New Roman"/>
          <w:i/>
          <w:sz w:val="28"/>
          <w:szCs w:val="28"/>
        </w:rPr>
        <w:t xml:space="preserve"> </w:t>
      </w:r>
      <w:r>
        <w:rPr>
          <w:rFonts w:ascii="Times New Roman" w:hAnsi="Times New Roman" w:eastAsia="Calibri" w:cs="Times New Roman"/>
          <w:sz w:val="28"/>
          <w:szCs w:val="28"/>
        </w:rPr>
        <w:t xml:space="preserve">необходимо использовать одновременно столько роботов, сколько составов одновременно проходит осмотр. </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 выражениях (1) и (2) первый множитель означает количество составов, приходящих в парк за время от начала первого осмотра до конца зарядки первого БПЛА. Это количество составов делится на количество составов, которое может осмотреть один робот без подзарядки аккумуляторных батарей. Вывод формул (1) и (2) можно наблюдать на рисунках 1 и 2 соответственно. </w:t>
      </w:r>
    </w:p>
    <w:p>
      <w:pPr>
        <w:spacing w:after="0" w:line="360" w:lineRule="auto"/>
        <w:ind w:firstLine="709"/>
        <w:rPr>
          <w:rFonts w:ascii="Times New Roman" w:hAnsi="Times New Roman" w:eastAsia="Calibri" w:cs="Times New Roman"/>
          <w:sz w:val="28"/>
          <w:szCs w:val="28"/>
        </w:rPr>
      </w:pP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5917565" cy="1466850"/>
            <wp:effectExtent l="19050" t="0" r="658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pic:cNvPicPr>
                  </pic:nvPicPr>
                  <pic:blipFill>
                    <a:blip r:embed="rId22" cstate="print">
                      <a:extLst>
                        <a:ext uri="{28A0092B-C50C-407E-A947-70E740481C1C}">
                          <a14:useLocalDpi xmlns:a14="http://schemas.microsoft.com/office/drawing/2010/main" val="0"/>
                        </a:ext>
                      </a:extLst>
                    </a:blip>
                    <a:srcRect t="3273" r="464"/>
                    <a:stretch>
                      <a:fillRect/>
                    </a:stretch>
                  </pic:blipFill>
                  <pic:spPr>
                    <a:xfrm>
                      <a:off x="0" y="0"/>
                      <a:ext cx="5948681" cy="1474696"/>
                    </a:xfrm>
                    <a:prstGeom prst="rect">
                      <a:avLst/>
                    </a:prstGeom>
                  </pic:spPr>
                </pic:pic>
              </a:graphicData>
            </a:graphic>
          </wp:inline>
        </w:drawing>
      </w:r>
    </w:p>
    <w:p>
      <w:pPr>
        <w:spacing w:after="0" w:line="360" w:lineRule="auto"/>
        <w:ind w:firstLine="709"/>
        <w:jc w:val="center"/>
        <w:rPr>
          <w:rFonts w:ascii="Times New Roman" w:hAnsi="Times New Roman" w:eastAsia="Calibri" w:cs="Times New Roman"/>
          <w:i/>
          <w:sz w:val="28"/>
          <w:szCs w:val="28"/>
        </w:rPr>
      </w:pPr>
      <w:r>
        <w:rPr>
          <w:rFonts w:ascii="Times New Roman" w:hAnsi="Times New Roman" w:eastAsia="Calibri" w:cs="Times New Roman"/>
          <w:sz w:val="28"/>
          <w:szCs w:val="28"/>
        </w:rPr>
        <w:t>Рисунок 1</w:t>
      </w:r>
      <w:r>
        <w:rPr>
          <w:rFonts w:ascii="Times New Roman" w:hAnsi="Times New Roman" w:eastAsia="Calibri" w:cs="Times New Roman"/>
          <w:b/>
          <w:sz w:val="28"/>
          <w:szCs w:val="28"/>
        </w:rPr>
        <w:t>.</w:t>
      </w:r>
      <w:r>
        <w:rPr>
          <w:rFonts w:ascii="Times New Roman" w:hAnsi="Times New Roman" w:eastAsia="Calibri" w:cs="Times New Roman"/>
          <w:sz w:val="28"/>
          <w:szCs w:val="28"/>
        </w:rPr>
        <w:t xml:space="preserve"> График работы роботов в парке, при интервале прибытия </w:t>
      </w:r>
      <w:r>
        <w:rPr>
          <w:rFonts w:ascii="Times New Roman" w:hAnsi="Times New Roman" w:eastAsia="Calibri" w:cs="Times New Roman"/>
          <w:i/>
          <w:sz w:val="28"/>
          <w:szCs w:val="28"/>
          <w:lang w:val="en-US"/>
        </w:rPr>
        <w:t>I</w:t>
      </w:r>
      <w:r>
        <w:rPr>
          <w:rFonts w:ascii="Times New Roman" w:hAnsi="Times New Roman" w:eastAsia="Calibri" w:cs="Times New Roman"/>
          <w:i/>
          <w:sz w:val="28"/>
          <w:szCs w:val="28"/>
        </w:rPr>
        <w:t>&lt;</w:t>
      </w:r>
      <w:r>
        <w:rPr>
          <w:rFonts w:ascii="Times New Roman" w:hAnsi="Times New Roman" w:eastAsia="Calibri" w:cs="Times New Roman"/>
          <w:i/>
          <w:sz w:val="28"/>
          <w:szCs w:val="28"/>
          <w:lang w:val="en-US"/>
        </w:rPr>
        <w:t>C</w:t>
      </w:r>
    </w:p>
    <w:p>
      <w:pPr>
        <w:spacing w:after="0" w:line="360" w:lineRule="auto"/>
        <w:ind w:firstLine="709"/>
        <w:jc w:val="center"/>
        <w:rPr>
          <w:rFonts w:ascii="Times New Roman" w:hAnsi="Times New Roman" w:eastAsia="Calibri" w:cs="Times New Roman"/>
          <w:i/>
          <w:sz w:val="28"/>
          <w:szCs w:val="28"/>
        </w:rPr>
      </w:pP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5977890" cy="1219835"/>
            <wp:effectExtent l="19050" t="0" r="3432"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91784" cy="1222621"/>
                    </a:xfrm>
                    <a:prstGeom prst="rect">
                      <a:avLst/>
                    </a:prstGeom>
                  </pic:spPr>
                </pic:pic>
              </a:graphicData>
            </a:graphic>
          </wp:inline>
        </w:drawing>
      </w:r>
    </w:p>
    <w:p>
      <w:pPr>
        <w:spacing w:after="0" w:line="360" w:lineRule="auto"/>
        <w:ind w:firstLine="709"/>
        <w:jc w:val="center"/>
        <w:rPr>
          <w:rFonts w:ascii="Times New Roman" w:hAnsi="Times New Roman" w:eastAsia="Calibri" w:cs="Times New Roman"/>
          <w:sz w:val="28"/>
          <w:szCs w:val="28"/>
        </w:rPr>
      </w:pPr>
      <w:r>
        <w:rPr>
          <w:rFonts w:ascii="Times New Roman" w:hAnsi="Times New Roman" w:eastAsia="Calibri" w:cs="Times New Roman"/>
          <w:sz w:val="28"/>
          <w:szCs w:val="28"/>
        </w:rPr>
        <w:t>Рисунок 2</w:t>
      </w:r>
      <w:r>
        <w:rPr>
          <w:rFonts w:ascii="Times New Roman" w:hAnsi="Times New Roman" w:eastAsia="Calibri" w:cs="Times New Roman"/>
          <w:b/>
          <w:sz w:val="28"/>
          <w:szCs w:val="28"/>
        </w:rPr>
        <w:t>.</w:t>
      </w:r>
      <w:r>
        <w:rPr>
          <w:rFonts w:ascii="Times New Roman" w:hAnsi="Times New Roman" w:eastAsia="Calibri" w:cs="Times New Roman"/>
          <w:sz w:val="28"/>
          <w:szCs w:val="28"/>
        </w:rPr>
        <w:t xml:space="preserve"> График работы роботов в парке, при интервале прибытия </w:t>
      </w:r>
      <w:r>
        <w:rPr>
          <w:rFonts w:ascii="Times New Roman" w:hAnsi="Times New Roman" w:eastAsia="Calibri" w:cs="Times New Roman"/>
          <w:i/>
          <w:sz w:val="28"/>
          <w:szCs w:val="28"/>
          <w:lang w:val="en-US"/>
        </w:rPr>
        <w:t>I</w:t>
      </w:r>
      <w:r>
        <w:rPr>
          <w:rFonts w:ascii="Times New Roman" w:hAnsi="Times New Roman" w:eastAsia="Calibri" w:cs="Times New Roman"/>
          <w:i/>
          <w:sz w:val="28"/>
          <w:szCs w:val="28"/>
        </w:rPr>
        <w:t>&gt;</w:t>
      </w:r>
      <w:r>
        <w:rPr>
          <w:rFonts w:ascii="Times New Roman" w:hAnsi="Times New Roman" w:eastAsia="Calibri" w:cs="Times New Roman"/>
          <w:i/>
          <w:sz w:val="28"/>
          <w:szCs w:val="28"/>
          <w:lang w:val="en-US"/>
        </w:rPr>
        <w:t>C</w:t>
      </w:r>
    </w:p>
    <w:p>
      <w:pPr>
        <w:spacing w:after="0" w:line="360" w:lineRule="auto"/>
        <w:ind w:firstLine="709"/>
        <w:jc w:val="both"/>
        <w:rPr>
          <w:rFonts w:ascii="Times New Roman" w:hAnsi="Times New Roman" w:eastAsia="Calibri" w:cs="Times New Roman"/>
          <w:sz w:val="28"/>
          <w:szCs w:val="28"/>
        </w:rPr>
      </w:pPr>
    </w:p>
    <w:p>
      <w:pPr>
        <w:spacing w:after="0" w:line="360" w:lineRule="auto"/>
        <w:ind w:firstLine="70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Исходя из графиков организации работы БПЛА в парке, можно вывести универсальную формулу для расчета необходимого количества роботов на один парк. Можно заметить, что график цикличен, и его цикл отслеживается по первому БПЛА. Цикл состоит из трех (для данного случая) осмотров составов без подзарядки, ожидания подачи состава под коммерческий осмотр и зарядки аккумуляторных батарей робота. Далее операции повторяются с такими же временными интервалами.</w:t>
      </w:r>
    </w:p>
    <w:p>
      <w:pPr>
        <w:spacing w:after="0" w:line="360" w:lineRule="auto"/>
        <w:ind w:firstLine="70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Чтобы унифицировать формулы (1) и (2) под любые соотношения интервала прибытия </w:t>
      </w:r>
      <w:r>
        <w:rPr>
          <w:rFonts w:ascii="Times New Roman" w:hAnsi="Times New Roman" w:eastAsia="Times New Roman" w:cs="Times New Roman"/>
          <w:i/>
          <w:sz w:val="28"/>
          <w:szCs w:val="28"/>
          <w:lang w:val="en-US" w:eastAsia="ru-RU" w:bidi="ru-RU"/>
        </w:rPr>
        <w:t>I</w:t>
      </w:r>
      <w:r>
        <w:rPr>
          <w:rFonts w:ascii="Times New Roman" w:hAnsi="Times New Roman" w:eastAsia="Times New Roman" w:cs="Times New Roman"/>
          <w:sz w:val="28"/>
          <w:szCs w:val="28"/>
          <w:lang w:eastAsia="ru-RU" w:bidi="ru-RU"/>
        </w:rPr>
        <w:t xml:space="preserve"> и продолжительности осмотра одного состава </w:t>
      </w:r>
      <w:r>
        <w:rPr>
          <w:rFonts w:ascii="Times New Roman" w:hAnsi="Times New Roman" w:eastAsia="Times New Roman" w:cs="Times New Roman"/>
          <w:i/>
          <w:sz w:val="28"/>
          <w:szCs w:val="28"/>
          <w:lang w:val="en-US" w:eastAsia="ru-RU" w:bidi="ru-RU"/>
        </w:rPr>
        <w:t>C</w:t>
      </w:r>
      <w:r>
        <w:rPr>
          <w:rFonts w:ascii="Times New Roman" w:hAnsi="Times New Roman" w:eastAsia="Times New Roman" w:cs="Times New Roman"/>
          <w:sz w:val="28"/>
          <w:szCs w:val="28"/>
          <w:lang w:eastAsia="ru-RU" w:bidi="ru-RU"/>
        </w:rPr>
        <w:t>, необходимо заменить второе слагаемое в числителе дроби на число, равное:</w:t>
      </w:r>
    </w:p>
    <w:p>
      <w:pPr>
        <w:spacing w:after="0" w:line="360" w:lineRule="auto"/>
        <w:ind w:firstLine="709"/>
        <w:jc w:val="both"/>
        <w:rPr>
          <w:rFonts w:ascii="Times New Roman" w:hAnsi="Times New Roman" w:eastAsia="Times New Roman" w:cs="Times New Roman"/>
          <w:sz w:val="28"/>
          <w:szCs w:val="28"/>
          <w:lang w:eastAsia="ru-RU" w:bidi="ru-RU"/>
        </w:rPr>
      </w:pPr>
    </w:p>
    <w:p>
      <w:pPr>
        <w:tabs>
          <w:tab w:val="decimal" w:pos="9214"/>
        </w:tabs>
        <w:spacing w:after="0" w:line="360" w:lineRule="auto"/>
        <w:ind w:firstLine="3828"/>
        <w:jc w:val="center"/>
        <w:rPr>
          <w:rFonts w:ascii="Times New Roman" w:hAnsi="Times New Roman" w:eastAsia="Times New Roman" w:cs="Times New Roman"/>
          <w:sz w:val="28"/>
          <w:szCs w:val="28"/>
          <w:lang w:eastAsia="ru-RU" w:bidi="ru-RU"/>
        </w:rPr>
      </w:pPr>
      <w:r>
        <w:rPr>
          <w:rFonts w:ascii="Times New Roman" w:hAnsi="Times New Roman" w:eastAsia="Times New Roman" w:cs="Times New Roman"/>
          <w:position w:val="-32"/>
          <w:sz w:val="28"/>
          <w:szCs w:val="28"/>
          <w:lang w:eastAsia="ru-RU" w:bidi="ru-RU"/>
        </w:rPr>
        <w:object>
          <v:shape id="_x0000_i1030" o:spt="75" type="#_x0000_t75" style="height:42pt;width:132.75pt;" o:ole="t" filled="f" coordsize="21600,21600">
            <v:path/>
            <v:fill on="f" focussize="0,0"/>
            <v:stroke/>
            <v:imagedata r:id="rId25" o:title=""/>
            <o:lock v:ext="edit" aspectratio="t"/>
            <w10:wrap type="none"/>
            <w10:anchorlock/>
          </v:shape>
          <o:OLEObject Type="Embed" ProgID="Equation.DSMT4" ShapeID="_x0000_i1030" DrawAspect="Content" ObjectID="_1468075730" r:id="rId24">
            <o:LockedField>false</o:LockedField>
          </o:OLEObject>
        </w:object>
      </w:r>
      <w:r>
        <w:rPr>
          <w:rFonts w:ascii="Times New Roman" w:hAnsi="Times New Roman" w:eastAsia="Times New Roman" w:cs="Times New Roman"/>
          <w:sz w:val="28"/>
          <w:szCs w:val="28"/>
          <w:lang w:eastAsia="ru-RU" w:bidi="ru-RU"/>
        </w:rPr>
        <w:tab/>
      </w:r>
      <w:r>
        <w:rPr>
          <w:rFonts w:ascii="Times New Roman" w:hAnsi="Times New Roman" w:eastAsia="Times New Roman" w:cs="Times New Roman"/>
          <w:sz w:val="28"/>
          <w:szCs w:val="28"/>
          <w:lang w:eastAsia="ru-RU" w:bidi="ru-RU"/>
        </w:rPr>
        <w:t>(3)</w:t>
      </w:r>
    </w:p>
    <w:p>
      <w:pPr>
        <w:tabs>
          <w:tab w:val="decimal" w:pos="9214"/>
        </w:tabs>
        <w:spacing w:after="0" w:line="360" w:lineRule="auto"/>
        <w:ind w:firstLine="709"/>
        <w:rPr>
          <w:rFonts w:ascii="Times New Roman" w:hAnsi="Times New Roman" w:eastAsia="Times New Roman" w:cs="Times New Roman"/>
          <w:sz w:val="28"/>
          <w:szCs w:val="28"/>
          <w:lang w:eastAsia="ru-RU" w:bidi="ru-RU"/>
        </w:rPr>
      </w:pPr>
    </w:p>
    <w:p>
      <w:pPr>
        <w:spacing w:after="0" w:line="360" w:lineRule="auto"/>
        <w:ind w:firstLine="70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где </w:t>
      </w:r>
      <w:r>
        <w:rPr>
          <w:rFonts w:ascii="Times New Roman" w:hAnsi="Times New Roman" w:eastAsia="Calibri" w:cs="Times New Roman"/>
          <w:position w:val="-14"/>
          <w:sz w:val="28"/>
          <w:szCs w:val="28"/>
        </w:rPr>
        <w:object>
          <v:shape id="_x0000_i1031" o:spt="75" type="#_x0000_t75" style="height:21.75pt;width:27pt;" o:ole="t" filled="f" coordsize="21600,21600">
            <v:path/>
            <v:fill on="f" focussize="0,0"/>
            <v:stroke/>
            <v:imagedata r:id="rId27" o:title=""/>
            <o:lock v:ext="edit" aspectratio="t"/>
            <w10:wrap type="none"/>
            <w10:anchorlock/>
          </v:shape>
          <o:OLEObject Type="Embed" ProgID="Equation.DSMT4" ShapeID="_x0000_i1031" DrawAspect="Content" ObjectID="_1468075731" r:id="rId26">
            <o:LockedField>false</o:LockedField>
          </o:OLEObject>
        </w:object>
      </w:r>
      <w:r>
        <w:rPr>
          <w:rFonts w:ascii="Times New Roman" w:hAnsi="Times New Roman" w:eastAsia="Times New Roman" w:cs="Times New Roman"/>
          <w:sz w:val="28"/>
          <w:szCs w:val="28"/>
          <w:lang w:eastAsia="ru-RU" w:bidi="ru-RU"/>
        </w:rPr>
        <w:t xml:space="preserve"> – операция округления до целого числа в большую сторону.</w:t>
      </w:r>
    </w:p>
    <w:p>
      <w:pPr>
        <w:spacing w:after="0" w:line="360" w:lineRule="auto"/>
        <w:ind w:firstLine="70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В произведении (3) множитель под оператором округления вверх, выражает количество составов, приходящих в парк за время осмотра одного состава. Далее  это количество умножается на интервал прибытия поездов в парк, таким образом, находится время между началами осмотров составов одним роботом. Чтобы найти время от первого осмотра, осуществляемым БПЛА, до последнего перед зарядкой, используется множитель </w:t>
      </w:r>
      <w:r>
        <w:rPr>
          <w:rFonts w:ascii="Times New Roman" w:hAnsi="Times New Roman" w:eastAsia="Times New Roman" w:cs="Times New Roman"/>
          <w:position w:val="-12"/>
          <w:sz w:val="28"/>
          <w:szCs w:val="28"/>
          <w:lang w:eastAsia="ru-RU" w:bidi="ru-RU"/>
        </w:rPr>
        <w:object>
          <v:shape id="_x0000_i1032" o:spt="75" type="#_x0000_t75" style="height:18.75pt;width:53.25pt;" o:ole="t" filled="f" coordsize="21600,21600">
            <v:path/>
            <v:fill on="f" focussize="0,0"/>
            <v:stroke/>
            <v:imagedata r:id="rId29" o:title=""/>
            <o:lock v:ext="edit" aspectratio="t"/>
            <w10:wrap type="none"/>
            <w10:anchorlock/>
          </v:shape>
          <o:OLEObject Type="Embed" ProgID="Equation.DSMT4" ShapeID="_x0000_i1032" DrawAspect="Content" ObjectID="_1468075732" r:id="rId28">
            <o:LockedField>false</o:LockedField>
          </o:OLEObject>
        </w:object>
      </w:r>
      <w:r>
        <w:rPr>
          <w:rFonts w:ascii="Times New Roman" w:hAnsi="Times New Roman" w:eastAsia="Times New Roman" w:cs="Times New Roman"/>
          <w:sz w:val="28"/>
          <w:szCs w:val="28"/>
          <w:lang w:eastAsia="ru-RU" w:bidi="ru-RU"/>
        </w:rPr>
        <w:t>, который обозначает количество временных интервалов</w:t>
      </w:r>
      <w:r>
        <w:rPr>
          <w:rFonts w:ascii="Times New Roman" w:hAnsi="Times New Roman" w:eastAsia="Calibri" w:cs="Times New Roman"/>
          <w:position w:val="-28"/>
          <w:sz w:val="28"/>
          <w:szCs w:val="28"/>
        </w:rPr>
        <w:object>
          <v:shape id="_x0000_i1033" o:spt="75" type="#_x0000_t75" style="height:36.75pt;width:45.75pt;" o:ole="t" filled="f" coordsize="21600,21600">
            <v:path/>
            <v:fill on="f" focussize="0,0"/>
            <v:stroke/>
            <v:imagedata r:id="rId31" o:title=""/>
            <o:lock v:ext="edit" aspectratio="t"/>
            <w10:wrap type="none"/>
            <w10:anchorlock/>
          </v:shape>
          <o:OLEObject Type="Embed" ProgID="Equation.DSMT4" ShapeID="_x0000_i1033" DrawAspect="Content" ObjectID="_1468075733" r:id="rId30">
            <o:LockedField>false</o:LockedField>
          </o:OLEObject>
        </w:object>
      </w:r>
      <w:r>
        <w:rPr>
          <w:rFonts w:ascii="Times New Roman" w:hAnsi="Times New Roman" w:eastAsia="Times New Roman" w:cs="Times New Roman"/>
          <w:sz w:val="28"/>
          <w:szCs w:val="28"/>
          <w:lang w:eastAsia="ru-RU" w:bidi="ru-RU"/>
        </w:rPr>
        <w:t xml:space="preserve"> на графике [3].</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Мозгом робота будет являться программа на языке программирования </w:t>
      </w:r>
      <w:r>
        <w:rPr>
          <w:rFonts w:ascii="Times New Roman" w:hAnsi="Times New Roman" w:eastAsia="Calibri" w:cs="Times New Roman"/>
          <w:sz w:val="28"/>
          <w:szCs w:val="28"/>
          <w:lang w:val="en-US"/>
        </w:rPr>
        <w:t>Python</w:t>
      </w:r>
      <w:r>
        <w:rPr>
          <w:rFonts w:ascii="Times New Roman" w:hAnsi="Times New Roman" w:eastAsia="Calibri" w:cs="Times New Roman"/>
          <w:sz w:val="28"/>
          <w:szCs w:val="28"/>
        </w:rPr>
        <w:t xml:space="preserve"> для обработки изображения с помощью сверточной нейронной сети. Обучаться такая модель будет учителем, на основе размеченной тренировочной выборки фотографий коммерческих неисправностей с определенного экспериментальным путем ракурса. Функцией активации нейронов будет являться кусочно заданная линейная функция </w:t>
      </w:r>
      <w:r>
        <w:rPr>
          <w:rFonts w:ascii="Times New Roman" w:hAnsi="Times New Roman" w:eastAsia="Calibri" w:cs="Times New Roman"/>
          <w:sz w:val="28"/>
          <w:szCs w:val="28"/>
          <w:lang w:val="en-US"/>
        </w:rPr>
        <w:t>ReLU</w:t>
      </w:r>
      <w:r>
        <w:rPr>
          <w:rFonts w:ascii="Times New Roman" w:hAnsi="Times New Roman" w:eastAsia="Calibri" w:cs="Times New Roman"/>
          <w:sz w:val="28"/>
          <w:szCs w:val="28"/>
        </w:rPr>
        <w:t xml:space="preserve">. Для более быстрого обучения такой модели необходимо применить способ инициализации весов нейронов Каймина Хе, и провести обучение на графическом процессоре вместо центрального процессора. В качестве функции оптимизации для обучения будет использована перекрестная энтропия из формулы расстояния Кульбака-Лейблера. Так же рационально применить нормализацию по </w:t>
      </w:r>
      <w:r>
        <w:rPr>
          <w:rFonts w:ascii="Times New Roman" w:hAnsi="Times New Roman" w:eastAsia="Calibri" w:cs="Times New Roman"/>
          <w:sz w:val="28"/>
          <w:szCs w:val="28"/>
          <w:lang w:val="en-US"/>
        </w:rPr>
        <w:t>mini</w:t>
      </w:r>
      <w:r>
        <w:rPr>
          <w:rFonts w:ascii="Times New Roman" w:hAnsi="Times New Roman" w:eastAsia="Calibri" w:cs="Times New Roman"/>
          <w:sz w:val="28"/>
          <w:szCs w:val="28"/>
        </w:rPr>
        <w:t>-</w:t>
      </w:r>
      <w:r>
        <w:rPr>
          <w:rFonts w:ascii="Times New Roman" w:hAnsi="Times New Roman" w:eastAsia="Calibri" w:cs="Times New Roman"/>
          <w:sz w:val="28"/>
          <w:szCs w:val="28"/>
          <w:lang w:val="en-US"/>
        </w:rPr>
        <w:t>batch</w:t>
      </w:r>
      <w:r>
        <w:rPr>
          <w:rFonts w:ascii="Times New Roman" w:hAnsi="Times New Roman" w:eastAsia="Calibri" w:cs="Times New Roman"/>
          <w:sz w:val="28"/>
          <w:szCs w:val="28"/>
        </w:rPr>
        <w:t xml:space="preserve"> [5].</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Нейронная сеть должна выдавать выводы об обрабатываемой картинке, на основе которых можно запрограммировать последующие команды для дрона. Такими командами будут: перемещение на заданное расстояние дальше по направлению осмотра, оформление коммерческого акта и отправление его в центр управления, возвращение на склад и корректировка позиционирования относительно плоскости борта вагонов и т.д. Связь рационально реализовать в управляющей программе на том же языке </w:t>
      </w:r>
      <w:r>
        <w:rPr>
          <w:rFonts w:ascii="Times New Roman" w:hAnsi="Times New Roman" w:eastAsia="Calibri" w:cs="Times New Roman"/>
          <w:sz w:val="28"/>
          <w:szCs w:val="28"/>
          <w:lang w:val="en-US"/>
        </w:rPr>
        <w:t>Python</w:t>
      </w:r>
      <w:r>
        <w:rPr>
          <w:rFonts w:ascii="Times New Roman" w:hAnsi="Times New Roman" w:eastAsia="Calibri" w:cs="Times New Roman"/>
          <w:sz w:val="28"/>
          <w:szCs w:val="28"/>
        </w:rPr>
        <w:t xml:space="preserve"> посредством простых «кликов» по координатам окна пилотирующей программы. Естественно, что все связующие действия будут выполняться на основании команд из управляющей программы [1].</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Таким образом, прекрасно видно, что для стандартизации и автоматизации процесса коммерческого осмотра вагонов без особо крупных капитальных вложений можно внедрить в производство роботизированную систему, которая, при должном развитии, сможет выполнять и другие операции, такие, как: технический осмотр подвижного состава, диагностика контактной сети, диагностика рельсовых цепей и технического состояния железнодорожного пути. В перспективе, такая система может заменить приемосдатчиков в целом или исключить необходимость их выхода на пути, что колоссально снизит уровень несчастных случаев на производстве и обеспечит безопасность работников [6].</w:t>
      </w:r>
    </w:p>
    <w:p>
      <w:pPr>
        <w:suppressAutoHyphens/>
        <w:spacing w:after="0" w:line="240" w:lineRule="auto"/>
        <w:jc w:val="center"/>
        <w:rPr>
          <w:rFonts w:ascii="Times New Roman" w:hAnsi="Times New Roman" w:eastAsia="Calibri" w:cs="Times New Roman"/>
          <w:b/>
          <w:sz w:val="28"/>
          <w:szCs w:val="28"/>
        </w:rPr>
      </w:pPr>
    </w:p>
    <w:p>
      <w:pPr>
        <w:suppressAutoHyphens/>
        <w:spacing w:after="0" w:line="24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Библиографический список</w:t>
      </w:r>
    </w:p>
    <w:p>
      <w:pPr>
        <w:suppressAutoHyphens/>
        <w:spacing w:after="0" w:line="240" w:lineRule="auto"/>
        <w:ind w:firstLine="709"/>
        <w:jc w:val="both"/>
        <w:rPr>
          <w:rFonts w:ascii="Times New Roman" w:hAnsi="Times New Roman" w:eastAsia="Calibri" w:cs="Times New Roman"/>
          <w:b/>
          <w:sz w:val="28"/>
          <w:szCs w:val="28"/>
        </w:rPr>
      </w:pP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1. Алексеев Б.Е., Вьюненко Л.Ф., Кудрявцев В.А., Романов А.П. Статистические модели и методы в управлении процессами перевозок. Учебное пособие // Спб.: Петербургский государственный университет путей сообщения, 1995. – 68 с.</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2. Концепция реализации комплексного научно-технического проекта «Цифровая железная дорога». – Информационные технологии ОАО «РЖД». – М. : 2017. – 90 с.</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lang w:val="en-US"/>
        </w:rPr>
        <w:t xml:space="preserve">3. </w:t>
      </w:r>
      <w:r>
        <w:rPr>
          <w:rFonts w:ascii="Times New Roman" w:hAnsi="Times New Roman" w:eastAsia="Calibri" w:cs="Times New Roman"/>
          <w:sz w:val="28"/>
          <w:szCs w:val="28"/>
        </w:rPr>
        <w:t>Матвеев</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Н</w:t>
      </w:r>
      <w:r>
        <w:rPr>
          <w:rFonts w:ascii="Times New Roman" w:hAnsi="Times New Roman" w:eastAsia="Calibri" w:cs="Times New Roman"/>
          <w:sz w:val="28"/>
          <w:szCs w:val="28"/>
          <w:lang w:val="en-US"/>
        </w:rPr>
        <w:t>.</w:t>
      </w:r>
      <w:r>
        <w:rPr>
          <w:rFonts w:ascii="Times New Roman" w:hAnsi="Times New Roman" w:eastAsia="Calibri" w:cs="Times New Roman"/>
          <w:sz w:val="28"/>
          <w:szCs w:val="28"/>
        </w:rPr>
        <w:t>С</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Бадецкий</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А</w:t>
      </w:r>
      <w:r>
        <w:rPr>
          <w:rFonts w:ascii="Times New Roman" w:hAnsi="Times New Roman" w:eastAsia="Calibri" w:cs="Times New Roman"/>
          <w:sz w:val="28"/>
          <w:szCs w:val="28"/>
          <w:lang w:val="en-US"/>
        </w:rPr>
        <w:t>.</w:t>
      </w:r>
      <w:r>
        <w:rPr>
          <w:rFonts w:ascii="Times New Roman" w:hAnsi="Times New Roman" w:eastAsia="Calibri" w:cs="Times New Roman"/>
          <w:sz w:val="28"/>
          <w:szCs w:val="28"/>
        </w:rPr>
        <w:t>П</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Машинное</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обучение</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на</w:t>
      </w:r>
      <w:r>
        <w:rPr>
          <w:rFonts w:ascii="Times New Roman" w:hAnsi="Times New Roman" w:eastAsia="Calibri" w:cs="Times New Roman"/>
          <w:sz w:val="28"/>
          <w:szCs w:val="28"/>
          <w:lang w:val="en-US"/>
        </w:rPr>
        <w:t xml:space="preserve"> </w:t>
      </w:r>
      <w:r>
        <w:rPr>
          <w:rFonts w:ascii="Times New Roman" w:hAnsi="Times New Roman" w:eastAsia="Calibri" w:cs="Times New Roman"/>
          <w:sz w:val="28"/>
          <w:szCs w:val="28"/>
        </w:rPr>
        <w:t>транспорте</w:t>
      </w:r>
      <w:r>
        <w:rPr>
          <w:rFonts w:ascii="Times New Roman" w:hAnsi="Times New Roman" w:eastAsia="Calibri" w:cs="Times New Roman"/>
          <w:sz w:val="28"/>
          <w:szCs w:val="28"/>
          <w:lang w:val="en-US"/>
        </w:rPr>
        <w:t xml:space="preserve"> // Russian Journal of Logistics &amp; Transport Management. </w:t>
      </w:r>
      <w:r>
        <w:rPr>
          <w:rFonts w:ascii="Times New Roman" w:hAnsi="Times New Roman" w:eastAsia="Calibri" w:cs="Times New Roman"/>
          <w:sz w:val="28"/>
          <w:szCs w:val="28"/>
        </w:rPr>
        <w:t>2019. №2. Т. 4. – С. 72-86.</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4. Научно-популярный журнал «Хабр» [Электронный ресурс] – Режим доступа: </w:t>
      </w:r>
      <w:r>
        <w:rPr>
          <w:rFonts w:ascii="Times New Roman" w:hAnsi="Times New Roman" w:eastAsia="Calibri" w:cs="Times New Roman"/>
          <w:sz w:val="28"/>
          <w:szCs w:val="28"/>
          <w:lang w:val="en-US"/>
        </w:rPr>
        <w:t>http</w:t>
      </w:r>
      <w:r>
        <w:rPr>
          <w:rFonts w:ascii="Times New Roman" w:hAnsi="Times New Roman" w:eastAsia="Calibri" w:cs="Times New Roman"/>
          <w:sz w:val="28"/>
          <w:szCs w:val="28"/>
        </w:rPr>
        <w:t>//</w:t>
      </w:r>
      <w:r>
        <w:rPr>
          <w:rFonts w:ascii="Times New Roman" w:hAnsi="Times New Roman" w:eastAsia="Calibri" w:cs="Times New Roman"/>
          <w:sz w:val="28"/>
          <w:szCs w:val="28"/>
          <w:lang w:val="en-US"/>
        </w:rPr>
        <w:t>www</w:t>
      </w:r>
      <w:r>
        <w:rPr>
          <w:rFonts w:ascii="Times New Roman" w:hAnsi="Times New Roman" w:eastAsia="Calibri" w:cs="Times New Roman"/>
          <w:sz w:val="28"/>
          <w:szCs w:val="28"/>
        </w:rPr>
        <w:t>.</w:t>
      </w:r>
      <w:r>
        <w:rPr>
          <w:rFonts w:ascii="Times New Roman" w:hAnsi="Times New Roman" w:eastAsia="Calibri" w:cs="Times New Roman"/>
          <w:sz w:val="28"/>
          <w:szCs w:val="28"/>
          <w:lang w:val="en-US"/>
        </w:rPr>
        <w:t>habr</w:t>
      </w:r>
      <w:r>
        <w:rPr>
          <w:rFonts w:ascii="Times New Roman" w:hAnsi="Times New Roman" w:eastAsia="Calibri" w:cs="Times New Roman"/>
          <w:sz w:val="28"/>
          <w:szCs w:val="28"/>
        </w:rPr>
        <w:t>.</w:t>
      </w:r>
      <w:r>
        <w:rPr>
          <w:rFonts w:ascii="Times New Roman" w:hAnsi="Times New Roman" w:eastAsia="Calibri" w:cs="Times New Roman"/>
          <w:sz w:val="28"/>
          <w:szCs w:val="28"/>
          <w:lang w:val="en-US"/>
        </w:rPr>
        <w:t>com</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5. Николенко С. Глубокое обучение / С. Николенко, А. Кудрин, Е. Архангельская // СПб.: Питер, 2018. – 480 с.</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6. Поддавашкин Э.С. Новые информационные технологии управления вагонным парком // Информационные технологии на железнодорожном транспорте: Аннотации докладов четвертой международной научно-практической конференции «ИНФОТРАНС-99». - СПб., 1999. – С. 26-27.</w:t>
      </w:r>
    </w:p>
    <w:p>
      <w:pPr>
        <w:suppressAutoHyphens/>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7. Технологический процесс работы грузовой станции Шушары Октябрьской железной дороги – филиала ОАО «РЖД». – 2016. – 130 с.</w:t>
      </w:r>
    </w:p>
    <w:p>
      <w:pPr>
        <w:spacing w:after="0" w:line="360" w:lineRule="auto"/>
        <w:ind w:firstLine="709"/>
        <w:jc w:val="right"/>
        <w:rPr>
          <w:rFonts w:ascii="Times New Roman" w:hAnsi="Times New Roman" w:eastAsia="Times New Roman" w:cs="Times New Roman"/>
          <w:b/>
          <w:sz w:val="28"/>
          <w:szCs w:val="28"/>
          <w:lang w:eastAsia="pl-PL"/>
        </w:rPr>
      </w:pPr>
      <w:r>
        <w:rPr>
          <w:rFonts w:ascii="Times New Roman" w:hAnsi="Times New Roman" w:eastAsia="Calibri" w:cs="Times New Roman"/>
          <w:sz w:val="28"/>
          <w:szCs w:val="28"/>
        </w:rPr>
        <w:br w:type="page"/>
      </w:r>
      <w:bookmarkStart w:id="13" w:name="_Toc26304489"/>
      <w:bookmarkStart w:id="14" w:name="_Toc27355090"/>
      <w:r>
        <w:rPr>
          <w:rFonts w:ascii="Times New Roman" w:hAnsi="Times New Roman" w:eastAsia="Times New Roman" w:cs="Times New Roman"/>
          <w:b/>
          <w:sz w:val="28"/>
          <w:szCs w:val="28"/>
          <w:lang w:eastAsia="pl-PL"/>
        </w:rPr>
        <w:t>П.В. Нечитайло</w:t>
      </w:r>
    </w:p>
    <w:p>
      <w:pPr>
        <w:spacing w:after="0" w:line="360" w:lineRule="auto"/>
        <w:jc w:val="right"/>
        <w:rPr>
          <w:rFonts w:ascii="Times New Roman" w:hAnsi="Times New Roman" w:eastAsia="Times New Roman" w:cs="Times New Roman"/>
          <w:sz w:val="28"/>
          <w:szCs w:val="28"/>
          <w:lang w:eastAsia="pl-PL"/>
        </w:rPr>
      </w:pPr>
      <w:r>
        <w:rPr>
          <w:rFonts w:ascii="Times New Roman" w:hAnsi="Times New Roman" w:eastAsia="Times New Roman" w:cs="Times New Roman"/>
          <w:sz w:val="28"/>
          <w:szCs w:val="28"/>
          <w:lang w:eastAsia="pl-PL"/>
        </w:rPr>
        <w:t>Петербургский государственный университет путей сообщения</w:t>
      </w:r>
    </w:p>
    <w:p>
      <w:pPr>
        <w:spacing w:after="0" w:line="360" w:lineRule="auto"/>
        <w:jc w:val="right"/>
        <w:rPr>
          <w:rFonts w:ascii="Times New Roman" w:hAnsi="Times New Roman" w:eastAsia="Times New Roman" w:cs="Times New Roman"/>
          <w:sz w:val="28"/>
          <w:szCs w:val="28"/>
          <w:lang w:val="pl-PL" w:eastAsia="pl-PL"/>
        </w:rPr>
      </w:pPr>
      <w:r>
        <w:rPr>
          <w:rFonts w:ascii="Times New Roman" w:hAnsi="Times New Roman" w:eastAsia="Times New Roman" w:cs="Times New Roman"/>
          <w:sz w:val="28"/>
          <w:szCs w:val="28"/>
          <w:lang w:eastAsia="pl-PL"/>
        </w:rPr>
        <w:t xml:space="preserve">императора Александра </w:t>
      </w:r>
      <w:r>
        <w:rPr>
          <w:rFonts w:ascii="Times New Roman" w:hAnsi="Times New Roman" w:eastAsia="Times New Roman" w:cs="Times New Roman"/>
          <w:sz w:val="28"/>
          <w:szCs w:val="28"/>
          <w:lang w:val="en-US" w:eastAsia="pl-PL"/>
        </w:rPr>
        <w:t>I</w:t>
      </w:r>
    </w:p>
    <w:p>
      <w:pPr>
        <w:spacing w:after="0" w:line="360" w:lineRule="auto"/>
        <w:jc w:val="right"/>
        <w:rPr>
          <w:rFonts w:ascii="Times New Roman" w:hAnsi="Times New Roman" w:eastAsia="Times New Roman" w:cs="Times New Roman"/>
          <w:sz w:val="28"/>
          <w:szCs w:val="28"/>
          <w:lang w:val="pl-PL" w:eastAsia="pl-PL"/>
        </w:rPr>
      </w:pPr>
      <w:r>
        <w:rPr>
          <w:rFonts w:ascii="Times New Roman" w:hAnsi="Times New Roman" w:eastAsia="Times New Roman" w:cs="Times New Roman"/>
          <w:sz w:val="28"/>
          <w:szCs w:val="28"/>
          <w:lang w:val="pl-PL" w:eastAsia="pl-PL"/>
        </w:rPr>
        <w:t>Санкт-Петербург, Россия</w:t>
      </w:r>
    </w:p>
    <w:p>
      <w:pPr>
        <w:jc w:val="right"/>
        <w:rPr>
          <w:rFonts w:ascii="Times New Roman" w:hAnsi="Times New Roman" w:cs="Times New Roman"/>
          <w:sz w:val="28"/>
          <w:szCs w:val="28"/>
        </w:rPr>
      </w:pPr>
      <w:r>
        <w:rPr>
          <w:rFonts w:ascii="Times New Roman" w:hAnsi="Times New Roman" w:cs="Times New Roman"/>
          <w:sz w:val="28"/>
          <w:szCs w:val="28"/>
        </w:rPr>
        <w:t>Магистр гр. ЛМ-800</w:t>
      </w:r>
    </w:p>
    <w:p>
      <w:pPr>
        <w:pStyle w:val="2"/>
        <w:spacing w:before="0"/>
        <w:jc w:val="center"/>
        <w:rPr>
          <w:rFonts w:ascii="Times New Roman" w:hAnsi="Times New Roman"/>
          <w:b/>
          <w:color w:val="auto"/>
          <w:sz w:val="28"/>
          <w:szCs w:val="28"/>
        </w:rPr>
      </w:pPr>
      <w:bookmarkStart w:id="15" w:name="_Toc37266321"/>
      <w:r>
        <w:rPr>
          <w:rFonts w:ascii="Times New Roman" w:hAnsi="Times New Roman"/>
          <w:b/>
          <w:color w:val="auto"/>
          <w:sz w:val="28"/>
          <w:szCs w:val="28"/>
        </w:rPr>
        <w:t>ИССЛЕДОВАНИЕ МЕТОДОВ ВЗАИМОДЕЙСТВИЯ РАЗЛИЧНЫХ ВИДОВ ТРАНСПОРТА В ПОРТУ</w:t>
      </w:r>
      <w:bookmarkEnd w:id="15"/>
    </w:p>
    <w:p>
      <w:pPr>
        <w:keepNext/>
        <w:keepLines/>
        <w:spacing w:after="0" w:line="360" w:lineRule="auto"/>
        <w:jc w:val="center"/>
        <w:outlineLvl w:val="0"/>
        <w:rPr>
          <w:rFonts w:ascii="Times New Roman" w:hAnsi="Times New Roman" w:eastAsia="Times New Roman" w:cs="Times New Roman"/>
          <w:b/>
          <w:bCs/>
          <w:sz w:val="32"/>
          <w:szCs w:val="32"/>
        </w:rPr>
      </w:pPr>
    </w:p>
    <w:p>
      <w:pPr>
        <w:spacing w:after="0" w:line="360" w:lineRule="auto"/>
        <w:ind w:firstLine="709"/>
        <w:jc w:val="both"/>
        <w:rPr>
          <w:rFonts w:ascii="Times New Roman" w:hAnsi="Times New Roman" w:eastAsia="Calibri" w:cs="Times New Roman"/>
          <w:iCs/>
          <w:sz w:val="28"/>
          <w:szCs w:val="28"/>
        </w:rPr>
      </w:pPr>
      <w:r>
        <w:rPr>
          <w:rFonts w:ascii="Times New Roman" w:hAnsi="Times New Roman" w:eastAsia="Calibri" w:cs="Times New Roman"/>
          <w:b/>
          <w:sz w:val="28"/>
          <w:szCs w:val="28"/>
        </w:rPr>
        <w:t xml:space="preserve">Аннотация: </w:t>
      </w:r>
      <w:r>
        <w:rPr>
          <w:rFonts w:ascii="Times New Roman" w:hAnsi="Times New Roman" w:eastAsia="Calibri" w:cs="Times New Roman"/>
          <w:iCs/>
          <w:sz w:val="28"/>
          <w:szCs w:val="28"/>
        </w:rPr>
        <w:t xml:space="preserve">Статья посвящена </w:t>
      </w:r>
      <w:r>
        <w:rPr>
          <w:rFonts w:ascii="Times New Roman" w:hAnsi="Times New Roman" w:eastAsia="Calibri" w:cs="Times New Roman"/>
          <w:sz w:val="28"/>
          <w:szCs w:val="28"/>
          <w:shd w:val="clear" w:color="auto" w:fill="FFFFFF"/>
        </w:rPr>
        <w:t xml:space="preserve">исследованию методов взаимодействия различных видов транспорта в порту. Были рассмотрены такие аспекты, как </w:t>
      </w:r>
      <w:r>
        <w:rPr>
          <w:rFonts w:ascii="Times New Roman" w:hAnsi="Times New Roman" w:eastAsia="Calibri" w:cs="Times New Roman"/>
          <w:sz w:val="28"/>
          <w:szCs w:val="28"/>
        </w:rPr>
        <w:t xml:space="preserve">организация обработки в портах подвижного состава смежных видов транспорта, а именно - </w:t>
      </w:r>
      <w:r>
        <w:rPr>
          <w:rFonts w:ascii="Times New Roman" w:hAnsi="Times New Roman" w:eastAsia="Calibri" w:cs="Times New Roman"/>
          <w:bCs/>
          <w:sz w:val="28"/>
          <w:szCs w:val="28"/>
          <w:shd w:val="clear" w:color="auto" w:fill="FFFFFF"/>
        </w:rPr>
        <w:t>организация и нормирование</w:t>
      </w:r>
      <w:r>
        <w:rPr>
          <w:rFonts w:ascii="Times New Roman" w:hAnsi="Times New Roman" w:eastAsia="Calibri" w:cs="Times New Roman"/>
          <w:b/>
          <w:sz w:val="28"/>
          <w:szCs w:val="28"/>
          <w:shd w:val="clear" w:color="auto" w:fill="FFFFFF"/>
        </w:rPr>
        <w:t> </w:t>
      </w:r>
      <w:r>
        <w:rPr>
          <w:rFonts w:ascii="Times New Roman" w:hAnsi="Times New Roman" w:eastAsia="Calibri" w:cs="Times New Roman"/>
          <w:sz w:val="28"/>
          <w:szCs w:val="28"/>
          <w:shd w:val="clear" w:color="auto" w:fill="FFFFFF"/>
        </w:rPr>
        <w:t xml:space="preserve">обработки вагонов, а также </w:t>
      </w:r>
      <w:r>
        <w:rPr>
          <w:rFonts w:ascii="Times New Roman" w:hAnsi="Times New Roman" w:eastAsia="Calibri" w:cs="Times New Roman"/>
          <w:bCs/>
          <w:sz w:val="28"/>
          <w:szCs w:val="28"/>
          <w:shd w:val="clear" w:color="auto" w:fill="FFFFFF"/>
        </w:rPr>
        <w:t>организация и нормирование работы автотранспорта. Выявлена небольшая статистика по перевозкам грузов в морские порты и из морских портов различными видами транспорта.</w:t>
      </w:r>
    </w:p>
    <w:p>
      <w:pPr>
        <w:spacing w:after="0" w:line="360" w:lineRule="auto"/>
        <w:ind w:firstLine="709"/>
        <w:jc w:val="both"/>
        <w:rPr>
          <w:rFonts w:ascii="Times New Roman" w:hAnsi="Times New Roman" w:eastAsia="Calibri" w:cs="Times New Roman"/>
          <w:iCs/>
          <w:sz w:val="28"/>
          <w:szCs w:val="28"/>
        </w:rPr>
      </w:pPr>
    </w:p>
    <w:p>
      <w:pPr>
        <w:spacing w:after="0" w:line="360" w:lineRule="auto"/>
        <w:ind w:firstLine="709"/>
        <w:jc w:val="both"/>
        <w:rPr>
          <w:rFonts w:ascii="Times New Roman" w:hAnsi="Times New Roman" w:eastAsia="Times New Roman" w:cs="Times New Roman"/>
          <w:sz w:val="32"/>
          <w:szCs w:val="32"/>
        </w:rPr>
      </w:pPr>
      <w:r>
        <w:rPr>
          <w:rFonts w:ascii="Times New Roman" w:hAnsi="Times New Roman" w:eastAsia="Calibri" w:cs="Times New Roman"/>
          <w:b/>
          <w:sz w:val="28"/>
          <w:szCs w:val="28"/>
        </w:rPr>
        <w:t>Ключевые слова</w:t>
      </w:r>
      <w:r>
        <w:rPr>
          <w:rFonts w:ascii="Times New Roman" w:hAnsi="Times New Roman" w:eastAsia="Calibri" w:cs="Times New Roman"/>
          <w:sz w:val="28"/>
          <w:szCs w:val="28"/>
        </w:rPr>
        <w:t>: исследование, взаимодействие, морские порты, смежные виды транспорта.</w:t>
      </w:r>
    </w:p>
    <w:bookmarkEnd w:id="13"/>
    <w:bookmarkEnd w:id="14"/>
    <w:p>
      <w:pPr>
        <w:rPr>
          <w:rFonts w:ascii="Times New Roman" w:hAnsi="Times New Roman" w:cs="Times New Roman"/>
        </w:rPr>
      </w:pPr>
    </w:p>
    <w:p>
      <w:pPr>
        <w:rPr>
          <w:rFonts w:ascii="Times New Roman" w:hAnsi="Times New Roman" w:eastAsia="Times New Roman" w:cs="Times New Roman"/>
          <w:b/>
          <w:bCs/>
          <w:sz w:val="28"/>
          <w:szCs w:val="28"/>
        </w:rPr>
      </w:pPr>
      <w:bookmarkStart w:id="16" w:name="_Toc27355091"/>
      <w:r>
        <w:rPr>
          <w:rFonts w:ascii="Times New Roman" w:hAnsi="Times New Roman" w:eastAsia="Times New Roman" w:cs="Times New Roman"/>
          <w:b/>
          <w:bCs/>
          <w:sz w:val="28"/>
          <w:szCs w:val="28"/>
        </w:rPr>
        <w:t>1. Взаимодействие морских портов со смежными</w:t>
      </w:r>
      <w:r>
        <w:rPr>
          <w:rFonts w:ascii="Times New Roman" w:hAnsi="Times New Roman" w:eastAsia="Times New Roman" w:cs="Times New Roman"/>
          <w:b/>
          <w:bCs/>
          <w:sz w:val="28"/>
          <w:szCs w:val="28"/>
        </w:rPr>
        <w:br w:type="textWrapping"/>
      </w:r>
      <w:r>
        <w:rPr>
          <w:rFonts w:ascii="Times New Roman" w:hAnsi="Times New Roman" w:eastAsia="Times New Roman" w:cs="Times New Roman"/>
          <w:b/>
          <w:bCs/>
          <w:sz w:val="28"/>
          <w:szCs w:val="28"/>
        </w:rPr>
        <w:t>видами транспорта</w:t>
      </w:r>
      <w:bookmarkEnd w:id="16"/>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Водный транспорт перевозит крупные партии грузов и поэтому взаимодействует в основном с железнодорожным транспортом, который доставляет в порты отправляемые грузы и вывозит из них прибывшие.[1]</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некоторых портах, лишенных связей с железнодорожными и речными путями сообщения, доставка в порт отправляемых грузов и вывоз прибывших осуществляется автомобильным транспортом. И здесь предпочтительной технологией считается перегрузка по прямому варианту "судно-автомобиль".</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Порты, через которые экспортируются нефтяные или жидкие химические грузы, имеют связь с трубопроводным транспортом, доставляющим названные грузы в береговые емкости.[2]</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Грузы в морские порты поступают всеми видами транспорта. При этом доли отдельных видов транспорта с годами меняются. Однако традиционно и преимущественно грузы поступают железнодорожным и трубопроводным транспортом (примерно в равных долях).[4] Железнодорожный транспорт доставляет в порты сухогрузы и нефтепродукты, трубопроводный транспорт - сырую нефть. За период с 2006 г. по 2013 г. доля железнодорожного транспорта выросла на 4,4 пункта, трубопроводного транспорта - на 1,8 пункта.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Существенно увеличилась по отправлению доля автомобильного транспорта - на 8,2 пункта. Это объясняется тем, что в условиях рынка появилось множество малых и средних предприятий, для которых автомобильный транспорт является наиболее удобным средством доставки товаров, несмотря на высокую стоимость перевозок.</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Доля речного транспорта и при завозе грузов в порты, и при вывозе их из портов снижается. Вместе с тем, с учетом проведения реформирования системы управления внутренним водным транспортом в перспективе можно ожидать роста соответствующей доли российского внутреннего водного транспорта.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перспективе распределение долей в завозе и вывозе грузов между видами транспорта не претерпит серьезных изменений. Может несколько возрасти доля автомобильного транспорта. Доля речного транспорта возрастет при условии реализации всех заложенных при реформировании мероприятий.</w:t>
      </w:r>
    </w:p>
    <w:p>
      <w:pPr>
        <w:spacing w:after="0" w:line="276" w:lineRule="auto"/>
        <w:rPr>
          <w:rFonts w:ascii="Times New Roman" w:hAnsi="Times New Roman" w:eastAsia="Calibri" w:cs="Times New Roman"/>
        </w:rPr>
      </w:pPr>
    </w:p>
    <w:p>
      <w:pPr>
        <w:spacing w:after="0" w:line="276" w:lineRule="auto"/>
        <w:jc w:val="center"/>
        <w:rPr>
          <w:rFonts w:ascii="Times New Roman" w:hAnsi="Times New Roman" w:eastAsia="Calibri" w:cs="Times New Roman"/>
          <w:b/>
          <w:sz w:val="28"/>
          <w:szCs w:val="28"/>
        </w:rPr>
      </w:pPr>
      <w:r>
        <w:rPr>
          <w:rFonts w:ascii="Times New Roman" w:hAnsi="Times New Roman" w:eastAsia="Calibri" w:cs="Times New Roman"/>
          <w:lang w:eastAsia="ru-RU"/>
        </w:rPr>
        <w:drawing>
          <wp:inline distT="0" distB="0" distL="0" distR="0">
            <wp:extent cx="6120130" cy="2589530"/>
            <wp:effectExtent l="0" t="0" r="13970" b="203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after="0" w:line="360" w:lineRule="auto"/>
        <w:ind w:firstLine="709"/>
        <w:rPr>
          <w:rFonts w:ascii="Times New Roman" w:hAnsi="Times New Roman" w:eastAsia="Times New Roman" w:cs="Times New Roman"/>
          <w:sz w:val="28"/>
          <w:szCs w:val="23"/>
        </w:rPr>
      </w:pPr>
      <w:r>
        <w:rPr>
          <w:rFonts w:ascii="Times New Roman" w:hAnsi="Times New Roman" w:eastAsia="Times New Roman" w:cs="Times New Roman"/>
          <w:sz w:val="28"/>
          <w:szCs w:val="23"/>
        </w:rPr>
        <w:t>П - прибытие</w:t>
      </w:r>
    </w:p>
    <w:p>
      <w:pPr>
        <w:spacing w:after="0" w:line="360" w:lineRule="auto"/>
        <w:ind w:firstLine="709"/>
        <w:rPr>
          <w:rFonts w:ascii="Times New Roman" w:hAnsi="Times New Roman" w:eastAsia="Times New Roman" w:cs="Times New Roman"/>
          <w:sz w:val="28"/>
          <w:szCs w:val="23"/>
        </w:rPr>
      </w:pPr>
      <w:r>
        <w:rPr>
          <w:rFonts w:ascii="Times New Roman" w:hAnsi="Times New Roman" w:eastAsia="Times New Roman" w:cs="Times New Roman"/>
          <w:sz w:val="28"/>
          <w:szCs w:val="23"/>
        </w:rPr>
        <w:t>О - отправление</w:t>
      </w:r>
    </w:p>
    <w:p>
      <w:pPr>
        <w:spacing w:after="0" w:line="276"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Рисунок – Прибытие отправление грузов в/из морские порты России разными видами транспорта для отправления морем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Несмотря на потенциал портов РФ, в первую очередь в обеспечении экспортно-импортных потоков, российские порты зачастую проигрывают конкуренцию за собственный трафик портам стран-соседей. При этом следует отметить, что российские порты обладают существенно лучшим расположением относительно российских центров производства и потребления грузов, что при существенно меньших издержках транспортировки грузов морем по сравнению с сухопутными участками должно ориентировать российские экспортно-импортные потоки на российские порты. Первоочередным сдерживающим фактором развития портов является сухопутная инфраструктура, в первую очередь - железнодорожные подходы.</w:t>
      </w:r>
    </w:p>
    <w:p>
      <w:pPr>
        <w:rPr>
          <w:rFonts w:ascii="Times New Roman" w:hAnsi="Times New Roman" w:cs="Times New Roman"/>
          <w:b/>
          <w:sz w:val="28"/>
          <w:szCs w:val="28"/>
        </w:rPr>
      </w:pPr>
      <w:bookmarkStart w:id="17" w:name="_Toc27355092"/>
      <w:r>
        <w:rPr>
          <w:rFonts w:ascii="Times New Roman" w:hAnsi="Times New Roman" w:cs="Times New Roman"/>
          <w:b/>
          <w:sz w:val="28"/>
          <w:szCs w:val="28"/>
        </w:rPr>
        <w:t>1.1 Организация обработки в портах подвижного состава смежных видов транспорта</w:t>
      </w:r>
      <w:bookmarkEnd w:id="17"/>
    </w:p>
    <w:p>
      <w:pPr>
        <w:rPr>
          <w:rFonts w:ascii="Times New Roman" w:hAnsi="Times New Roman" w:cs="Times New Roman"/>
          <w:b/>
          <w:sz w:val="28"/>
          <w:szCs w:val="28"/>
        </w:rPr>
      </w:pPr>
      <w:bookmarkStart w:id="18" w:name="_Toc27355093"/>
      <w:r>
        <w:rPr>
          <w:rFonts w:ascii="Times New Roman" w:hAnsi="Times New Roman" w:cs="Times New Roman"/>
          <w:b/>
          <w:sz w:val="28"/>
          <w:szCs w:val="28"/>
        </w:rPr>
        <w:t xml:space="preserve">1.1.1 </w:t>
      </w:r>
      <w:r>
        <w:rPr>
          <w:rFonts w:ascii="Times New Roman" w:hAnsi="Times New Roman" w:cs="Times New Roman"/>
          <w:b/>
          <w:sz w:val="28"/>
          <w:szCs w:val="28"/>
          <w:shd w:val="clear" w:color="auto" w:fill="FFFFFF"/>
        </w:rPr>
        <w:t>Организация и нормирование обработки вагонов</w:t>
      </w:r>
      <w:bookmarkEnd w:id="18"/>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Почти половина (по итогам 2013 года - 47%) грузов (по прибытию) доставляется в порты железнодорожным транспортом. В этой связи налаженная работа портовиков и железнодорожников, а также возможности инфраструктуры являются основополагающими факторами интеграции этих видов транспорта.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Железнодорожный транспорт является основным смежным с морским видом транспорта, с помощью которого грузы поступают в порт или вывозятся из порта, поэтому от успешного взаимодействия портов с железнодорожным транспортом в основном зависит выполнение планов по перевозке грузов морем и скорость их доставки в пункты назначения.</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крупных портах с большим объемом перевалки сооружают специальные припортовые грузовые железнодорожные станции с путевым развитием и устройствами для сортировки вагонов по отдельным районам и причалам порта в соответствии со специализацией технологических перегрузочных комплексов и складов, а так же для расформирования маршрутов или передаточных поездов с назначением на ближайшие сортировочные станции из вагонов, загруженных или разгруженных в порту.[1]</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 помощью путей и устройств припортовой станции можно полностью или частично выполнять технические, грузовые, коммерческие и пассажирские операции.</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 </w:t>
      </w:r>
      <w:r>
        <w:rPr>
          <w:rFonts w:ascii="Times New Roman" w:hAnsi="Times New Roman" w:eastAsia="Times New Roman" w:cs="Times New Roman"/>
          <w:bCs/>
          <w:sz w:val="28"/>
          <w:szCs w:val="28"/>
        </w:rPr>
        <w:t>техническим операциям</w:t>
      </w:r>
      <w:r>
        <w:rPr>
          <w:rFonts w:ascii="Times New Roman" w:hAnsi="Times New Roman" w:eastAsia="Times New Roman" w:cs="Times New Roman"/>
          <w:sz w:val="28"/>
          <w:szCs w:val="28"/>
        </w:rPr>
        <w:t xml:space="preserve"> относятся прием, отправление и пропуск поездов, их скрещения и обгоны, формирование и расформирование составов, обработка отдельных групп вагонов, подача и уборка вагонов на фронты погрузки и выгрузки, смена локомотивов и поездных бригад у транзитных поездов и экипировка локомотивов, очистка, промывка, дезинфекция вагонов.</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 </w:t>
      </w:r>
      <w:r>
        <w:rPr>
          <w:rFonts w:ascii="Times New Roman" w:hAnsi="Times New Roman" w:eastAsia="Times New Roman" w:cs="Times New Roman"/>
          <w:bCs/>
          <w:sz w:val="28"/>
          <w:szCs w:val="28"/>
        </w:rPr>
        <w:t>грузовым операциям</w:t>
      </w:r>
      <w:r>
        <w:rPr>
          <w:rFonts w:ascii="Times New Roman" w:hAnsi="Times New Roman" w:eastAsia="Times New Roman" w:cs="Times New Roman"/>
          <w:sz w:val="28"/>
          <w:szCs w:val="28"/>
        </w:rPr>
        <w:t xml:space="preserve"> относятся погрузка, выгрузка вагонов, сортировка мелких отправок и контейнеров, снабжение изотермических вагонов льдом и солью.</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 </w:t>
      </w:r>
      <w:r>
        <w:rPr>
          <w:rFonts w:ascii="Times New Roman" w:hAnsi="Times New Roman" w:eastAsia="Times New Roman" w:cs="Times New Roman"/>
          <w:bCs/>
          <w:sz w:val="28"/>
          <w:szCs w:val="28"/>
        </w:rPr>
        <w:t>коммерческим операциям</w:t>
      </w:r>
      <w:r>
        <w:rPr>
          <w:rFonts w:ascii="Times New Roman" w:hAnsi="Times New Roman" w:eastAsia="Times New Roman" w:cs="Times New Roman"/>
          <w:sz w:val="28"/>
          <w:szCs w:val="28"/>
        </w:rPr>
        <w:t xml:space="preserve"> относятся прием, взвешивание, хранение и выдача грузов, оформление перевозочных документов, взимание провозных платежей, пломбирование вагонов, обеспечение сохранности грузов, осмотр прибывающих и отправляемых составов.</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Согласно передовой технологии транспортного процесса для сокращения срока доставки грузов и пребывания подвижного состава транспорта в портах перевалки применяется три варианта организации подвода подвижного состава: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 по </w:t>
      </w:r>
      <w:r>
        <w:rPr>
          <w:rFonts w:ascii="Times New Roman" w:hAnsi="Times New Roman" w:eastAsia="Times New Roman" w:cs="Times New Roman"/>
          <w:iCs/>
          <w:sz w:val="28"/>
          <w:szCs w:val="28"/>
        </w:rPr>
        <w:t>специализированным взаимосогласованным расписаниям</w:t>
      </w:r>
      <w:r>
        <w:rPr>
          <w:rFonts w:ascii="Times New Roman" w:hAnsi="Times New Roman" w:eastAsia="Times New Roman" w:cs="Times New Roman"/>
          <w:sz w:val="28"/>
          <w:szCs w:val="28"/>
        </w:rPr>
        <w:t xml:space="preserve"> (ниткам графикам) с прибытием поездов и судов в пункт перевалки примерно в одно время. При использовании этого способа можно организовать перевалку груза по прямому варианту.</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2. </w:t>
      </w:r>
      <w:r>
        <w:rPr>
          <w:rFonts w:ascii="Times New Roman" w:hAnsi="Times New Roman" w:eastAsia="Times New Roman" w:cs="Times New Roman"/>
          <w:iCs/>
          <w:sz w:val="28"/>
          <w:szCs w:val="28"/>
        </w:rPr>
        <w:t>по периодам суток.</w:t>
      </w:r>
      <w:r>
        <w:rPr>
          <w:rFonts w:ascii="Times New Roman" w:hAnsi="Times New Roman" w:eastAsia="Times New Roman" w:cs="Times New Roman"/>
          <w:sz w:val="28"/>
          <w:szCs w:val="28"/>
        </w:rPr>
        <w:t xml:space="preserve"> При больших расстояниях на железнодорожном и морском транспорте подход подвижного состава планируется по полусуткам, а при меньших - по четвертям суток. При этом можно также применять прямой вариант перевалки грузов.</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 без </w:t>
      </w:r>
      <w:r>
        <w:rPr>
          <w:rFonts w:ascii="Times New Roman" w:hAnsi="Times New Roman" w:eastAsia="Times New Roman" w:cs="Times New Roman"/>
          <w:iCs/>
          <w:sz w:val="28"/>
          <w:szCs w:val="28"/>
        </w:rPr>
        <w:t>согласования времени прибытия.</w:t>
      </w:r>
      <w:r>
        <w:rPr>
          <w:rFonts w:ascii="Times New Roman" w:hAnsi="Times New Roman" w:eastAsia="Times New Roman" w:cs="Times New Roman"/>
          <w:sz w:val="28"/>
          <w:szCs w:val="28"/>
        </w:rPr>
        <w:t> При работе подвижного состава каждого вида транспорта по обычным графикам, на основе взаимной информации о подходе подвижного состава устанавливается целесообразный вариант перевалки грузов. Обычно применяется чередование прямого и складского вариантов перевалки грузов.</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Условия работы и порядок передачи грузов в каждом порту устанавливается узловым оглашением, заключаемым на определенный срок (три года) между дорогой и портом.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Слаженность работы припортовой станции порта отражается с помощью следующих производственных показателей работы станции:</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w:t>
      </w:r>
      <w:r>
        <w:rPr>
          <w:rFonts w:ascii="Times New Roman" w:hAnsi="Times New Roman" w:eastAsia="Times New Roman" w:cs="Times New Roman"/>
          <w:iCs/>
          <w:sz w:val="28"/>
          <w:szCs w:val="28"/>
        </w:rPr>
        <w:t>рабочий парк станции -</w:t>
      </w:r>
      <w:r>
        <w:rPr>
          <w:rFonts w:ascii="Times New Roman" w:hAnsi="Times New Roman" w:eastAsia="Times New Roman" w:cs="Times New Roman"/>
          <w:sz w:val="28"/>
          <w:szCs w:val="28"/>
        </w:rPr>
        <w:t> остаток вагонов к концу отчетных суток;</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w:t>
      </w:r>
      <w:r>
        <w:rPr>
          <w:rFonts w:ascii="Times New Roman" w:hAnsi="Times New Roman" w:eastAsia="Times New Roman" w:cs="Times New Roman"/>
          <w:iCs/>
          <w:sz w:val="28"/>
          <w:szCs w:val="28"/>
        </w:rPr>
        <w:t>вагонооборот станции -</w:t>
      </w:r>
      <w:r>
        <w:rPr>
          <w:rFonts w:ascii="Times New Roman" w:hAnsi="Times New Roman" w:eastAsia="Times New Roman" w:cs="Times New Roman"/>
          <w:sz w:val="28"/>
          <w:szCs w:val="28"/>
        </w:rPr>
        <w:t> количество прибывших и убывших вагонов за сутки,</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w:t>
      </w:r>
      <w:r>
        <w:rPr>
          <w:rFonts w:ascii="Times New Roman" w:hAnsi="Times New Roman" w:eastAsia="Times New Roman" w:cs="Times New Roman"/>
          <w:iCs/>
          <w:sz w:val="28"/>
          <w:szCs w:val="28"/>
        </w:rPr>
        <w:t>простой грузового вагона -</w:t>
      </w:r>
      <w:r>
        <w:rPr>
          <w:rFonts w:ascii="Times New Roman" w:hAnsi="Times New Roman" w:eastAsia="Times New Roman" w:cs="Times New Roman"/>
          <w:sz w:val="28"/>
          <w:szCs w:val="28"/>
        </w:rPr>
        <w:t> время нахождения вагона на станции в вагоно-часах;</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w:t>
      </w:r>
      <w:r>
        <w:rPr>
          <w:rFonts w:ascii="Times New Roman" w:hAnsi="Times New Roman" w:eastAsia="Times New Roman" w:cs="Times New Roman"/>
          <w:iCs/>
          <w:sz w:val="28"/>
          <w:szCs w:val="28"/>
        </w:rPr>
        <w:t>статическая нагрузка вагона -</w:t>
      </w:r>
      <w:r>
        <w:rPr>
          <w:rFonts w:ascii="Times New Roman" w:hAnsi="Times New Roman" w:eastAsia="Times New Roman" w:cs="Times New Roman"/>
          <w:sz w:val="28"/>
          <w:szCs w:val="28"/>
        </w:rPr>
        <w:t> средняя масса нетто (в тоннах), приходящаяся на один вагон при отправлении со станции погрузки.</w:t>
      </w:r>
    </w:p>
    <w:p>
      <w:pPr>
        <w:rPr>
          <w:rFonts w:ascii="Times New Roman" w:hAnsi="Times New Roman" w:cs="Times New Roman"/>
          <w:b/>
          <w:sz w:val="28"/>
          <w:szCs w:val="28"/>
          <w:shd w:val="clear" w:color="auto" w:fill="FFFFFF"/>
        </w:rPr>
      </w:pPr>
      <w:bookmarkStart w:id="19" w:name="_Toc27355094"/>
      <w:r>
        <w:rPr>
          <w:rFonts w:ascii="Times New Roman" w:hAnsi="Times New Roman" w:cs="Times New Roman"/>
          <w:b/>
          <w:bCs/>
          <w:sz w:val="28"/>
          <w:szCs w:val="28"/>
        </w:rPr>
        <w:t xml:space="preserve">1.1.2 </w:t>
      </w:r>
      <w:r>
        <w:rPr>
          <w:rFonts w:ascii="Times New Roman" w:hAnsi="Times New Roman" w:cs="Times New Roman"/>
          <w:b/>
          <w:sz w:val="28"/>
          <w:szCs w:val="28"/>
          <w:shd w:val="clear" w:color="auto" w:fill="FFFFFF"/>
        </w:rPr>
        <w:t>Организация и нормирование работы автотранспорта</w:t>
      </w:r>
      <w:bookmarkEnd w:id="19"/>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Как было отмечено, роль автомобильного транспорта в деятельности морских портов крайне важна. Автомобильный транспорт является основным видом транспорта, которым вывозятся грузы из портов (более 60% грузов по отправке).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Порядок совместной работы морского, железнодорожного и автомобильного транспорта в перевозочном пункте устанавливается узловым соглашением.</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Технология завоза автомобилями грузов на транспортные узлы и вывоза грузов из них основывается на общих принципах выполнения автомобильных перевозок и является составной частью единого технологического процесса переработки грузов в портах. Эта организация по своему содержанию весьма разнообразна, а ее осуществление многовариантно, что обусловлено рядом причин. Организация перевозок грузов автотранспортом в портовых транспортных узлах имеет следующие специфические особенности большое число грузоотправителей и грузополучателей при ограниченном числе специализированных технологических перегрузочных комплексов как грузообразующих (грузопоглощающих) элементов транспортного узла; ограниченные возможности одновременной загрузки (разгрузки) автомобилей в узле; территориальная paзoбщенноcтъ автотранспортных предприятий, транспортных узлов и грузовладельцев, слабая оснащенность большинства грузополучателей и грузоотправителей перегрузочными средствами и ограниченное время выдачи (приема) груза.[2]</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Для осуществления ритмичной подачи автомобилей в портовый транспортный узел составляются ступенчатые графики на основе сменно-суточного плана перевозок, графики работы автомобилей составляют отдельно по каждому производственному участку фронта погрузки навалочных грузов, мелких отправок, контейнеров, тяжеловесных грузов в порту. Составлению графика предшествуют следующие подготовительные работы: установление объема ввоза и вывоза груза автотранспортом в порт; определение производительности обработки машины и емкости (по числу одновременно обрабатываемых машин) по каждому оперативному фронту в порту; определение типа и марки автомобиля; определение среднего времени ездки одного автомобиля; расчет потребного числа автомобилей.[3]</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Следующим этапом является составление по графикам каждого автомобиля сводного общего графика подачи автомобилей в порт и обработка их с учетом наличия фронтов загрузки (разгрузки) и их пропускной способности, а также рабочего времени по приему-выдаче грузов грузоотправителями. При значительных колебаниях объема перевозок (сезонных, суточных) разрабатывается несколько вариантов графика.[3,4]</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Для взаимоувязанного планирования необходимо наличие полной информации о сроках завоза и вывоза грузов между портом, автотранспортным предприятием . и основной клиентурой.</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Высокий уровень взаимодействия автомобильного с другими видами транспорта достигается в результате применения непрерывных планов-графиков работы портового транспортного узла.</w:t>
      </w:r>
    </w:p>
    <w:p>
      <w:pPr>
        <w:jc w:val="center"/>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1. Журавская М. А. Организация работы мультимодального терминала : учеб.-метод. пособие / М. А. Журавская [и др.], 2010. [Электронное издание]. </w:t>
      </w:r>
      <w:r>
        <w:fldChar w:fldCharType="begin"/>
      </w:r>
      <w:r>
        <w:instrText xml:space="preserve"> HYPERLINK "https://www.usurt.ru/in/files/umm/umm_2202.pdf" </w:instrText>
      </w:r>
      <w:r>
        <w:fldChar w:fldCharType="separate"/>
      </w:r>
      <w:r>
        <w:rPr>
          <w:rFonts w:ascii="Times New Roman" w:hAnsi="Times New Roman" w:eastAsia="Calibri" w:cs="Times New Roman"/>
          <w:color w:val="000000"/>
          <w:sz w:val="28"/>
          <w:szCs w:val="28"/>
          <w:lang w:val="en-US"/>
        </w:rPr>
        <w:t>https</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www</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usurt</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ru</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in</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files</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umm</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umm</w:t>
      </w:r>
      <w:r>
        <w:rPr>
          <w:rFonts w:ascii="Times New Roman" w:hAnsi="Times New Roman" w:eastAsia="Calibri" w:cs="Times New Roman"/>
          <w:color w:val="000000"/>
          <w:sz w:val="28"/>
          <w:szCs w:val="28"/>
        </w:rPr>
        <w:t>_2202.</w:t>
      </w:r>
      <w:r>
        <w:rPr>
          <w:rFonts w:ascii="Times New Roman" w:hAnsi="Times New Roman" w:eastAsia="Calibri" w:cs="Times New Roman"/>
          <w:color w:val="000000"/>
          <w:sz w:val="28"/>
          <w:szCs w:val="28"/>
          <w:lang w:val="en-US"/>
        </w:rPr>
        <w:t>pdf</w:t>
      </w:r>
      <w:r>
        <w:rPr>
          <w:rFonts w:ascii="Times New Roman" w:hAnsi="Times New Roman" w:eastAsia="Calibri" w:cs="Times New Roman"/>
          <w:color w:val="000000"/>
          <w:sz w:val="28"/>
          <w:szCs w:val="28"/>
          <w:lang w:val="en-US"/>
        </w:rPr>
        <w:fldChar w:fldCharType="end"/>
      </w:r>
      <w:r>
        <w:rPr>
          <w:rFonts w:ascii="Times New Roman" w:hAnsi="Times New Roman" w:eastAsia="Calibri" w:cs="Times New Roman"/>
          <w:color w:val="000000"/>
          <w:sz w:val="28"/>
          <w:szCs w:val="28"/>
        </w:rPr>
        <w:t>.</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2. Никифоров В. С. Мультимодальные перевозки и транспортная логистика учеб. пособие / В. С. Никифоров. – М. : ТрансЛит, 2007.</w:t>
      </w:r>
    </w:p>
    <w:p>
      <w:pPr>
        <w:spacing w:after="0" w:line="360" w:lineRule="auto"/>
        <w:ind w:firstLine="709"/>
        <w:jc w:val="both"/>
        <w:rPr>
          <w:rFonts w:ascii="Times New Roman" w:hAnsi="Times New Roman" w:eastAsia="Calibri" w:cs="Times New Roman"/>
          <w:color w:val="000000"/>
          <w:sz w:val="28"/>
          <w:szCs w:val="28"/>
        </w:rPr>
      </w:pPr>
      <w:r>
        <w:rPr>
          <w:rFonts w:ascii="Times New Roman" w:hAnsi="Times New Roman" w:eastAsia="Calibri" w:cs="Times New Roman"/>
          <w:sz w:val="28"/>
          <w:szCs w:val="28"/>
        </w:rPr>
        <w:t>3. Плужников К. И. Транспортное экспедирование / К. И. Плужников, Ю.А. Чунтомова. – М. : ТрансЛит, 2006.</w:t>
      </w:r>
    </w:p>
    <w:p>
      <w:pPr>
        <w:spacing w:after="0" w:line="360" w:lineRule="auto"/>
        <w:ind w:firstLine="709"/>
        <w:jc w:val="both"/>
        <w:rPr>
          <w:rFonts w:ascii="Times New Roman" w:hAnsi="Times New Roman" w:eastAsia="Calibri" w:cs="Times New Roman"/>
          <w:color w:val="000000"/>
          <w:sz w:val="28"/>
          <w:szCs w:val="28"/>
        </w:rPr>
      </w:pPr>
      <w:r>
        <w:rPr>
          <w:rFonts w:ascii="Times New Roman" w:hAnsi="Times New Roman" w:eastAsia="Calibri" w:cs="Times New Roman"/>
          <w:sz w:val="28"/>
          <w:szCs w:val="28"/>
        </w:rPr>
        <w:t xml:space="preserve">4. Смородинцева Е. Е. Единая транспортная система: курс лекций / Е. Е. Смородинцева. – Екатеринбург: УрГУПС, 2013. – 219 с. [Электронное издание]. </w:t>
      </w:r>
      <w:r>
        <w:fldChar w:fldCharType="begin"/>
      </w:r>
      <w:r>
        <w:instrText xml:space="preserve"> HYPERLINK "https://www.usurt.ru/in/files/umm/umm_5907.pdf" </w:instrText>
      </w:r>
      <w:r>
        <w:fldChar w:fldCharType="separate"/>
      </w:r>
      <w:r>
        <w:rPr>
          <w:rFonts w:ascii="Times New Roman" w:hAnsi="Times New Roman" w:eastAsia="Calibri" w:cs="Times New Roman"/>
          <w:color w:val="000000"/>
          <w:sz w:val="28"/>
          <w:szCs w:val="28"/>
          <w:lang w:val="en-US"/>
        </w:rPr>
        <w:t>https</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www</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usurt</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ru</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in</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files</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umm</w:t>
      </w:r>
      <w:r>
        <w:rPr>
          <w:rFonts w:ascii="Times New Roman" w:hAnsi="Times New Roman" w:eastAsia="Calibri" w:cs="Times New Roman"/>
          <w:color w:val="000000"/>
          <w:sz w:val="28"/>
          <w:szCs w:val="28"/>
        </w:rPr>
        <w:t>/</w:t>
      </w:r>
      <w:r>
        <w:rPr>
          <w:rFonts w:ascii="Times New Roman" w:hAnsi="Times New Roman" w:eastAsia="Calibri" w:cs="Times New Roman"/>
          <w:color w:val="000000"/>
          <w:sz w:val="28"/>
          <w:szCs w:val="28"/>
          <w:lang w:val="en-US"/>
        </w:rPr>
        <w:t>umm</w:t>
      </w:r>
      <w:r>
        <w:rPr>
          <w:rFonts w:ascii="Times New Roman" w:hAnsi="Times New Roman" w:eastAsia="Calibri" w:cs="Times New Roman"/>
          <w:color w:val="000000"/>
          <w:sz w:val="28"/>
          <w:szCs w:val="28"/>
        </w:rPr>
        <w:t>_5907.</w:t>
      </w:r>
      <w:r>
        <w:rPr>
          <w:rFonts w:ascii="Times New Roman" w:hAnsi="Times New Roman" w:eastAsia="Calibri" w:cs="Times New Roman"/>
          <w:color w:val="000000"/>
          <w:sz w:val="28"/>
          <w:szCs w:val="28"/>
          <w:lang w:val="en-US"/>
        </w:rPr>
        <w:t>pdf</w:t>
      </w:r>
      <w:r>
        <w:rPr>
          <w:rFonts w:ascii="Times New Roman" w:hAnsi="Times New Roman" w:eastAsia="Calibri" w:cs="Times New Roman"/>
          <w:color w:val="000000"/>
          <w:sz w:val="28"/>
          <w:szCs w:val="28"/>
          <w:lang w:val="en-US"/>
        </w:rPr>
        <w:fldChar w:fldCharType="end"/>
      </w:r>
      <w:r>
        <w:rPr>
          <w:rFonts w:ascii="Times New Roman" w:hAnsi="Times New Roman" w:eastAsia="Calibri" w:cs="Times New Roman"/>
          <w:color w:val="000000"/>
          <w:sz w:val="28"/>
          <w:szCs w:val="28"/>
        </w:rPr>
        <w:t>.</w:t>
      </w:r>
    </w:p>
    <w:p>
      <w:pPr>
        <w:spacing w:after="0"/>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br w:type="page"/>
      </w:r>
    </w:p>
    <w:p>
      <w:pPr>
        <w:spacing w:after="0" w:line="360" w:lineRule="auto"/>
        <w:ind w:firstLine="709"/>
        <w:rPr>
          <w:rFonts w:ascii="Times New Roman" w:hAnsi="Times New Roman" w:eastAsia="Calibri" w:cs="Times New Roman"/>
          <w:sz w:val="28"/>
          <w:szCs w:val="28"/>
        </w:rPr>
      </w:pPr>
      <w:r>
        <w:rPr>
          <w:rFonts w:ascii="Times New Roman" w:hAnsi="Times New Roman" w:eastAsia="Calibri" w:cs="Times New Roman"/>
          <w:sz w:val="28"/>
          <w:szCs w:val="28"/>
        </w:rPr>
        <w:t>УДК 658.72</w:t>
      </w:r>
    </w:p>
    <w:p>
      <w:pPr>
        <w:spacing w:after="0" w:line="360" w:lineRule="auto"/>
        <w:rPr>
          <w:rFonts w:ascii="Times New Roman" w:hAnsi="Times New Roman" w:eastAsia="Calibri" w:cs="Times New Roman"/>
          <w:sz w:val="28"/>
          <w:szCs w:val="28"/>
        </w:rPr>
      </w:pPr>
    </w:p>
    <w:p>
      <w:pPr>
        <w:spacing w:after="0" w:line="360" w:lineRule="auto"/>
        <w:ind w:firstLine="709"/>
        <w:jc w:val="right"/>
        <w:rPr>
          <w:rFonts w:ascii="Times New Roman" w:hAnsi="Times New Roman" w:eastAsia="Calibri" w:cs="Times New Roman"/>
          <w:b/>
          <w:sz w:val="28"/>
          <w:szCs w:val="28"/>
        </w:rPr>
      </w:pPr>
      <w:r>
        <w:rPr>
          <w:rFonts w:ascii="Times New Roman" w:hAnsi="Times New Roman" w:eastAsia="Calibri" w:cs="Times New Roman"/>
          <w:b/>
          <w:sz w:val="28"/>
          <w:szCs w:val="28"/>
        </w:rPr>
        <w:t>А.В. Ряполова*, Н.Г. Янковская**, Н. Гаруи***</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Петербургский государственный университет путей сообщения Императора Александра </w:t>
      </w:r>
      <w:r>
        <w:rPr>
          <w:rFonts w:ascii="Times New Roman" w:hAnsi="Times New Roman" w:eastAsia="Calibri" w:cs="Times New Roman"/>
          <w:sz w:val="28"/>
          <w:szCs w:val="28"/>
          <w:lang w:val="en-US"/>
        </w:rPr>
        <w:t>I</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 Санкт-Петербург, Россия</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*студент магистратуры, 2 курс</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 xml:space="preserve">**кандидат технических наук </w:t>
      </w:r>
    </w:p>
    <w:p>
      <w:pPr>
        <w:spacing w:after="0" w:line="360" w:lineRule="auto"/>
        <w:jc w:val="right"/>
        <w:rPr>
          <w:rFonts w:ascii="Times New Roman" w:hAnsi="Times New Roman" w:eastAsia="Calibri" w:cs="Times New Roman"/>
          <w:sz w:val="28"/>
          <w:szCs w:val="28"/>
        </w:rPr>
      </w:pPr>
      <w:r>
        <w:rPr>
          <w:rFonts w:ascii="Times New Roman" w:hAnsi="Times New Roman" w:eastAsia="Calibri" w:cs="Times New Roman"/>
          <w:sz w:val="28"/>
          <w:szCs w:val="28"/>
        </w:rPr>
        <w:t>***студент специалитета, 5 курс</w:t>
      </w:r>
    </w:p>
    <w:p>
      <w:pPr>
        <w:spacing w:after="0" w:line="360" w:lineRule="auto"/>
        <w:jc w:val="right"/>
        <w:rPr>
          <w:rFonts w:ascii="Times New Roman" w:hAnsi="Times New Roman" w:eastAsia="Calibri" w:cs="Times New Roman"/>
          <w:sz w:val="28"/>
          <w:szCs w:val="28"/>
        </w:rPr>
      </w:pPr>
    </w:p>
    <w:p>
      <w:pPr>
        <w:pStyle w:val="2"/>
        <w:spacing w:before="0"/>
        <w:rPr>
          <w:rFonts w:ascii="Times New Roman" w:hAnsi="Times New Roman" w:eastAsia="Calibri"/>
          <w:b/>
          <w:sz w:val="28"/>
          <w:szCs w:val="28"/>
        </w:rPr>
      </w:pPr>
      <w:bookmarkStart w:id="20" w:name="_Toc37266322"/>
      <w:r>
        <w:rPr>
          <w:rFonts w:ascii="Times New Roman" w:hAnsi="Times New Roman" w:eastAsia="Calibri"/>
          <w:b/>
          <w:color w:val="auto"/>
          <w:sz w:val="28"/>
          <w:szCs w:val="28"/>
        </w:rPr>
        <w:t>РОЛЬ ПОСРЕДНИЧЕСКИХ КОМПАНИЙ В СИСТЕМЕ ЗАКУПОК</w:t>
      </w:r>
      <w:bookmarkEnd w:id="20"/>
    </w:p>
    <w:p>
      <w:pPr>
        <w:spacing w:after="0" w:line="360" w:lineRule="auto"/>
        <w:jc w:val="both"/>
        <w:rPr>
          <w:rFonts w:ascii="Times New Roman" w:hAnsi="Times New Roman" w:eastAsia="Calibri" w:cs="Times New Roman"/>
          <w:sz w:val="28"/>
          <w:szCs w:val="28"/>
        </w:rPr>
      </w:pP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b/>
          <w:sz w:val="28"/>
          <w:szCs w:val="28"/>
        </w:rPr>
        <w:t>Аннотация:</w:t>
      </w:r>
      <w:r>
        <w:rPr>
          <w:rFonts w:ascii="Times New Roman" w:hAnsi="Times New Roman" w:eastAsia="Calibri" w:cs="Times New Roman"/>
          <w:sz w:val="28"/>
          <w:szCs w:val="28"/>
        </w:rPr>
        <w:t xml:space="preserve"> Рассмотрено значение посреднических компаний как связующего звена между производителем и потребителем в системе закупок, способы проведения закупок и этапы процедуры. Проведен анализ основных проблем применения Федеральных законов, регулирующих проведение закупочных процедур. Отмечены позитивные и негативные стороны изменений в законодательстве.</w:t>
      </w:r>
    </w:p>
    <w:p>
      <w:pPr>
        <w:spacing w:after="0" w:line="360" w:lineRule="auto"/>
        <w:ind w:firstLine="709"/>
        <w:jc w:val="both"/>
        <w:rPr>
          <w:rFonts w:ascii="Times New Roman" w:hAnsi="Times New Roman" w:eastAsia="Calibri" w:cs="Times New Roman"/>
          <w:sz w:val="28"/>
          <w:szCs w:val="28"/>
        </w:rPr>
      </w:pP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b/>
          <w:sz w:val="28"/>
          <w:szCs w:val="28"/>
        </w:rPr>
        <w:t>Ключевые слова:</w:t>
      </w:r>
      <w:r>
        <w:rPr>
          <w:rFonts w:ascii="Times New Roman" w:hAnsi="Times New Roman" w:eastAsia="Calibri" w:cs="Times New Roman"/>
          <w:sz w:val="28"/>
          <w:szCs w:val="28"/>
        </w:rPr>
        <w:t xml:space="preserve"> посреднические компании, закупки, закупочная логистика, Федеральные законы, электронные торговые площадки. </w:t>
      </w:r>
    </w:p>
    <w:p>
      <w:pPr>
        <w:spacing w:after="0" w:line="360" w:lineRule="auto"/>
        <w:ind w:firstLine="709"/>
        <w:jc w:val="both"/>
        <w:rPr>
          <w:rFonts w:ascii="Times New Roman" w:hAnsi="Times New Roman" w:eastAsia="Calibri" w:cs="Times New Roman"/>
          <w:sz w:val="28"/>
          <w:szCs w:val="28"/>
        </w:rPr>
      </w:pP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Посредническая деятельность в нашей стране имеет длительную историю, является важной неотъемлемой частью современных экономических отношений и динамично развивается. Появляются посреднические компании в различных сферах, которые осуществляют функции продвижения товара (услуги) на рынок и его передачу от производителя товара (услуги) к потребителю. </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color w:val="000000"/>
          <w:sz w:val="28"/>
          <w:szCs w:val="28"/>
        </w:rPr>
        <w:t xml:space="preserve">Посредники – это организации (или физические лица), оказывающие содействие в установлении контактов и заключении сделок, контрактов между производителями и потребителями, продавцами и покупателями товаров и услуг. Посреднические компании, в свою очередь, способствуют увеличению производительности труда непосредственных производителей товаров на основе углубления </w:t>
      </w:r>
      <w:r>
        <w:rPr>
          <w:rFonts w:ascii="Times New Roman" w:hAnsi="Times New Roman" w:eastAsia="Calibri" w:cs="Times New Roman"/>
          <w:sz w:val="28"/>
          <w:szCs w:val="28"/>
        </w:rPr>
        <w:t>специализации; ускорению темпов оборота капитала; к насыщению товарных рынков до объективно требуемых размеров.</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Для эффективной и прибыльной деятельности такие компании должны заниматься исследованием рынка сбыта и поиском новых поставщиков, прогнозировать интересы и действия, как собственные, так и своих партнеров. Посредническая деятельность в сфере материального производства эффективна до того момента, пока она сохраняет способность к реализации товаров с большей степенью доходности, чем сами производители товаров [3]. </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На качество функционирования посреднических компаний оказывает существенное влияние эффективная закупочная логистика. Экономическую основу деятельности таких компаний составляет поиск и закупка необходимых материальных ресурсов требуемого качества по минимальным ценам.</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Закупки осуществляются различными способами: путем проведения электронных аукционов, закупок у единственного поставщика, запроса котировок, открытых конкурсов, конкурсов с ограниченным участием, запросов предложений и иных способов, в зависимости от вида Заказчика и критериев, по которым Заказчик будет выбирать Поставщика. </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Предприятия-производители также принимают участие в торгах, но реже посреднических организаций. Это связано с тем, что большинству производителей выгоднее продать товар оптом, чем участвовать в закупочных процедурах. Торги, как правило, проходят в несколько этапов и влекут дополнительные финансовые и временные затраты. В большинстве случаев Заказчик устанавливает отсрочку платежа на достаточно длительный срок. Это зависит от формы собственности предприятия - производителя, и других ограничений, прописанных в Федеральном Законе (далее ФЗ). Организацией участия предприятия в торгах должен заниматься квалифицированный специалист, которому постоянно необходимо следить за изменениями в ФЗ, регламентирующих закупочную деятельность. Чтобы избежать отложенных платежей и дополнительных </w:t>
      </w:r>
      <w:r>
        <w:rPr>
          <w:rFonts w:ascii="Times New Roman" w:hAnsi="Times New Roman" w:eastAsia="Calibri" w:cs="Times New Roman"/>
          <w:color w:val="000000"/>
          <w:sz w:val="28"/>
          <w:szCs w:val="28"/>
        </w:rPr>
        <w:t xml:space="preserve">затрат на организацию торгов, предприятия обращаются к посредническим компаниям, которые играют важную роль в закупочной </w:t>
      </w:r>
      <w:r>
        <w:rPr>
          <w:rFonts w:ascii="Times New Roman" w:hAnsi="Times New Roman" w:eastAsia="Calibri" w:cs="Times New Roman"/>
          <w:sz w:val="28"/>
          <w:szCs w:val="28"/>
        </w:rPr>
        <w:t>деятельности.</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Для получения максимально возможного положительного результата при осуществлении закупочной деятельности необходим четкий план процедуры закупок, отражающий следующие этапы.</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На первом этапе происходит определение номенклатуры закупаемых ресурсов. Потребность может быть сформулирована и определена как прежняя, как совершенно новая или как модифицированная.</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Второй этап направлен на обоснование объема закупок с учетом анализа прошлого опыта и существующей потребности.</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На третьем этапе специалистами осуществляется подготовка технического задания с указанием конкретных характеристик и ограничений по выявленной потребности.</w:t>
      </w:r>
    </w:p>
    <w:p>
      <w:pPr>
        <w:spacing w:after="0" w:line="360" w:lineRule="auto"/>
        <w:ind w:firstLine="709"/>
        <w:jc w:val="both"/>
        <w:rPr>
          <w:rFonts w:ascii="Times New Roman" w:hAnsi="Times New Roman" w:eastAsia="Times New Roman" w:cs="Times New Roman"/>
          <w:color w:val="000000"/>
          <w:sz w:val="28"/>
          <w:szCs w:val="28"/>
          <w:lang w:eastAsia="ru-RU"/>
        </w:rPr>
      </w:pPr>
      <w:r>
        <w:rPr>
          <w:rFonts w:ascii="Times New Roman" w:hAnsi="Times New Roman" w:eastAsia="Calibri" w:cs="Times New Roman"/>
          <w:sz w:val="28"/>
          <w:szCs w:val="28"/>
        </w:rPr>
        <w:t xml:space="preserve">Четвертый этап зависит от способа закупки. Если закупка будет осуществляться вне электронной торговой площадки (ЭТП), то на данном этапе происходит поиск потенциального поставщика и его выбор. </w:t>
      </w:r>
      <w:r>
        <w:rPr>
          <w:rFonts w:ascii="Times New Roman" w:hAnsi="Times New Roman" w:eastAsia="Times New Roman" w:cs="Times New Roman"/>
          <w:color w:val="000000"/>
          <w:sz w:val="28"/>
          <w:szCs w:val="28"/>
          <w:lang w:eastAsia="ru-RU"/>
        </w:rPr>
        <w:t xml:space="preserve">В качестве критериев оценки при выборе поставщика принимают: приемлемость цены, качество поставляемой продукции, качество обслуживания потребителей, гибкость поставок, удаленность от потребителя, </w:t>
      </w:r>
      <w:r>
        <w:rPr>
          <w:rFonts w:ascii="Times New Roman" w:hAnsi="Times New Roman" w:eastAsia="Times New Roman" w:cs="Times New Roman"/>
          <w:sz w:val="28"/>
          <w:szCs w:val="28"/>
          <w:lang w:eastAsia="ru-RU"/>
        </w:rPr>
        <w:t>опыт поставок,</w:t>
      </w:r>
      <w:r>
        <w:rPr>
          <w:rFonts w:ascii="Times New Roman" w:hAnsi="Times New Roman" w:eastAsia="Times New Roman" w:cs="Times New Roman"/>
          <w:color w:val="000000"/>
          <w:sz w:val="28"/>
          <w:szCs w:val="28"/>
          <w:lang w:eastAsia="ru-RU"/>
        </w:rPr>
        <w:t xml:space="preserve"> текущее финансовое положение. </w:t>
      </w:r>
      <w:r>
        <w:rPr>
          <w:rFonts w:ascii="Times New Roman" w:hAnsi="Times New Roman" w:eastAsia="Calibri" w:cs="Times New Roman"/>
          <w:sz w:val="28"/>
          <w:szCs w:val="28"/>
        </w:rPr>
        <w:t>Если же закупка осуществляется посредством ЭТП, то формируется извещение, далее проводится сама процедура закупки. В извещении прописываются существенные условия проведения закупочной процедуры, к которым относятся: вид процедуры закупки, ссылки на пункты ФЗ по которому осуществляется процедура, наименование ЭТП, на которой будет проводиться процедура, размер обеспечения заявки/договора (если предусмотрен), описание товара, срок поставки, срок оплаты, ограничения к форме собственности участника процедуры и т.д. Результатом четвертого этапа, вне зависимости от способа закупки, является определение наиболее привлекательного поставщика по заявленным критериям.</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На пятом этапе происходят переговоры между Поставщиком и Заказчиком с подписанием необходимых документов, т.е. установление договорных отношений. </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Шестым этапом является согласование параметров поставки и контроль за ее исполнением. </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На завершающем седьмом этапе происходит оценка качества поставленного товара и подписание закрывающих документов (</w:t>
      </w:r>
      <w:r>
        <w:rPr>
          <w:rFonts w:ascii="Times New Roman" w:hAnsi="Times New Roman" w:eastAsia="Calibri" w:cs="Times New Roman"/>
          <w:color w:val="0F0F0F"/>
          <w:spacing w:val="2"/>
          <w:sz w:val="28"/>
          <w:szCs w:val="28"/>
          <w:shd w:val="clear" w:color="auto" w:fill="FFFFFF"/>
        </w:rPr>
        <w:t xml:space="preserve">счет фактура </w:t>
      </w:r>
      <w:r>
        <w:rPr>
          <w:rFonts w:ascii="Times New Roman" w:hAnsi="Times New Roman" w:eastAsia="Calibri" w:cs="Times New Roman"/>
          <w:sz w:val="28"/>
          <w:szCs w:val="28"/>
        </w:rPr>
        <w:t xml:space="preserve">и акт выполненных работ). </w:t>
      </w:r>
    </w:p>
    <w:p>
      <w:pPr>
        <w:shd w:val="clear" w:color="auto" w:fill="FFFFFF"/>
        <w:spacing w:after="0" w:line="360" w:lineRule="auto"/>
        <w:ind w:firstLine="709"/>
        <w:jc w:val="both"/>
        <w:rPr>
          <w:rFonts w:ascii="Times New Roman" w:hAnsi="Times New Roman" w:eastAsia="Times New Roman" w:cs="Times New Roman"/>
          <w:bCs/>
          <w:color w:val="121212"/>
          <w:sz w:val="28"/>
          <w:szCs w:val="28"/>
          <w:lang w:eastAsia="ru-RU"/>
        </w:rPr>
      </w:pPr>
      <w:r>
        <w:rPr>
          <w:rFonts w:ascii="Times New Roman" w:hAnsi="Times New Roman" w:eastAsia="Times New Roman" w:cs="Times New Roman"/>
          <w:bCs/>
          <w:color w:val="121212"/>
          <w:sz w:val="28"/>
          <w:szCs w:val="28"/>
          <w:lang w:eastAsia="ru-RU"/>
        </w:rPr>
        <w:t>Закупки делят на три группы в зависимости от заказчиков.</w:t>
      </w:r>
    </w:p>
    <w:p>
      <w:pPr>
        <w:shd w:val="clear" w:color="auto" w:fill="FFFFFF"/>
        <w:spacing w:after="0" w:line="360" w:lineRule="auto"/>
        <w:ind w:firstLine="709"/>
        <w:jc w:val="both"/>
        <w:rPr>
          <w:rFonts w:ascii="Times New Roman" w:hAnsi="Times New Roman" w:eastAsia="Times New Roman" w:cs="Times New Roman"/>
          <w:color w:val="121212"/>
          <w:sz w:val="28"/>
          <w:szCs w:val="28"/>
          <w:lang w:eastAsia="ru-RU"/>
        </w:rPr>
      </w:pPr>
      <w:r>
        <w:rPr>
          <w:rFonts w:ascii="Times New Roman" w:hAnsi="Times New Roman" w:eastAsia="Times New Roman" w:cs="Times New Roman"/>
          <w:b/>
          <w:bCs/>
          <w:color w:val="121212"/>
          <w:sz w:val="28"/>
          <w:szCs w:val="28"/>
          <w:lang w:eastAsia="ru-RU"/>
        </w:rPr>
        <w:t xml:space="preserve">Госзакупки.  </w:t>
      </w:r>
      <w:r>
        <w:rPr>
          <w:rFonts w:ascii="Times New Roman" w:hAnsi="Times New Roman" w:eastAsia="Calibri" w:cs="Times New Roman"/>
          <w:color w:val="292929"/>
          <w:sz w:val="28"/>
          <w:szCs w:val="28"/>
          <w:shd w:val="clear" w:color="auto" w:fill="FFFFFF"/>
        </w:rPr>
        <w:t> </w:t>
      </w:r>
      <w:r>
        <w:rPr>
          <w:rFonts w:ascii="Times New Roman" w:hAnsi="Times New Roman" w:eastAsia="Times New Roman" w:cs="Times New Roman"/>
          <w:bCs/>
          <w:color w:val="121212"/>
          <w:sz w:val="28"/>
          <w:szCs w:val="28"/>
          <w:lang w:eastAsia="ru-RU"/>
        </w:rPr>
        <w:t>Госзакупки осуществляются в соответствии с положениями 44-ФЗ [1]</w:t>
      </w:r>
      <w:r>
        <w:rPr>
          <w:rFonts w:ascii="Times New Roman" w:hAnsi="Times New Roman" w:eastAsia="Times New Roman" w:cs="Times New Roman"/>
          <w:b/>
          <w:bCs/>
          <w:color w:val="121212"/>
          <w:sz w:val="28"/>
          <w:szCs w:val="28"/>
          <w:lang w:eastAsia="ru-RU"/>
        </w:rPr>
        <w:t xml:space="preserve">.  </w:t>
      </w:r>
      <w:r>
        <w:rPr>
          <w:rFonts w:ascii="Times New Roman" w:hAnsi="Times New Roman" w:eastAsia="Times New Roman" w:cs="Times New Roman"/>
          <w:color w:val="121212"/>
          <w:sz w:val="28"/>
          <w:szCs w:val="28"/>
          <w:lang w:eastAsia="ru-RU"/>
        </w:rPr>
        <w:t xml:space="preserve">Государственный заказчик делает закупки для государственных нужд по плану. Государственными заказчиками являются все государственные и муниципальные </w:t>
      </w:r>
      <w:r>
        <w:rPr>
          <w:rFonts w:ascii="Times New Roman" w:hAnsi="Times New Roman" w:eastAsia="Times New Roman" w:cs="Times New Roman"/>
          <w:sz w:val="28"/>
          <w:szCs w:val="28"/>
          <w:lang w:eastAsia="ru-RU"/>
        </w:rPr>
        <w:t>бюджетные</w:t>
      </w:r>
      <w:r>
        <w:rPr>
          <w:rFonts w:ascii="Times New Roman" w:hAnsi="Times New Roman" w:eastAsia="Times New Roman" w:cs="Times New Roman"/>
          <w:color w:val="121212"/>
          <w:sz w:val="28"/>
          <w:szCs w:val="28"/>
          <w:lang w:eastAsia="ru-RU"/>
        </w:rPr>
        <w:t xml:space="preserve"> организации [4], например, больницы, школы, детсады, городские администрации и т.д. Закупки проводятся по установленным государством </w:t>
      </w:r>
      <w:r>
        <w:rPr>
          <w:rFonts w:ascii="Times New Roman" w:hAnsi="Times New Roman" w:eastAsia="Times New Roman" w:cs="Times New Roman"/>
          <w:sz w:val="28"/>
          <w:szCs w:val="28"/>
          <w:lang w:eastAsia="ru-RU"/>
        </w:rPr>
        <w:t xml:space="preserve">правилам на конкурсной основе – через тендер. </w:t>
      </w:r>
      <w:r>
        <w:rPr>
          <w:rFonts w:ascii="Times New Roman" w:hAnsi="Times New Roman" w:eastAsia="Times New Roman" w:cs="Times New Roman"/>
          <w:color w:val="121212"/>
          <w:sz w:val="28"/>
          <w:szCs w:val="28"/>
          <w:lang w:eastAsia="ru-RU"/>
        </w:rPr>
        <w:t xml:space="preserve">Средства на тендер должны быть выделены из бюджета. Заказчик публикует план закупок, по которому Поставщики заранее могут спланировать свою деятельность. </w:t>
      </w:r>
      <w:r>
        <w:rPr>
          <w:rFonts w:ascii="Times New Roman" w:hAnsi="Times New Roman" w:eastAsia="Times New Roman" w:cs="Times New Roman"/>
          <w:sz w:val="28"/>
          <w:szCs w:val="28"/>
          <w:lang w:eastAsia="ru-RU"/>
        </w:rPr>
        <w:t>После опубликования извещения о закупках или направления Заказчиком приглашения Поставщику к участию, участник подает заявку.</w:t>
      </w:r>
      <w:r>
        <w:rPr>
          <w:rFonts w:ascii="Times New Roman" w:hAnsi="Times New Roman" w:eastAsia="Times New Roman" w:cs="Times New Roman"/>
          <w:color w:val="121212"/>
          <w:sz w:val="28"/>
          <w:szCs w:val="28"/>
          <w:lang w:eastAsia="ru-RU"/>
        </w:rPr>
        <w:t xml:space="preserve"> Победителя определяют </w:t>
      </w:r>
      <w:r>
        <w:rPr>
          <w:rFonts w:ascii="Times New Roman" w:hAnsi="Times New Roman" w:eastAsia="Times New Roman" w:cs="Times New Roman"/>
          <w:sz w:val="28"/>
          <w:szCs w:val="28"/>
          <w:lang w:eastAsia="ru-RU"/>
        </w:rPr>
        <w:t xml:space="preserve">чаще всего </w:t>
      </w:r>
      <w:r>
        <w:rPr>
          <w:rFonts w:ascii="Times New Roman" w:hAnsi="Times New Roman" w:eastAsia="Times New Roman" w:cs="Times New Roman"/>
          <w:color w:val="121212"/>
          <w:sz w:val="28"/>
          <w:szCs w:val="28"/>
          <w:lang w:eastAsia="ru-RU"/>
        </w:rPr>
        <w:t>по минимальной цене или по заранее заявленным другим критериям (опыт, квалификация и т.д.). Закупка завершена, когда контракт заключен, все обязательства исполнены, а исполнитель получил деньги. </w:t>
      </w:r>
    </w:p>
    <w:p>
      <w:pPr>
        <w:shd w:val="clear" w:color="auto" w:fill="FFFFFF"/>
        <w:spacing w:after="0" w:line="360" w:lineRule="auto"/>
        <w:ind w:firstLine="709"/>
        <w:jc w:val="both"/>
        <w:rPr>
          <w:rFonts w:ascii="Times New Roman" w:hAnsi="Times New Roman" w:eastAsia="Times New Roman" w:cs="Times New Roman"/>
          <w:color w:val="121212"/>
          <w:sz w:val="28"/>
          <w:szCs w:val="28"/>
          <w:lang w:eastAsia="ru-RU"/>
        </w:rPr>
      </w:pPr>
      <w:r>
        <w:rPr>
          <w:rFonts w:ascii="Times New Roman" w:hAnsi="Times New Roman" w:eastAsia="Times New Roman" w:cs="Times New Roman"/>
          <w:b/>
          <w:bCs/>
          <w:color w:val="121212"/>
          <w:sz w:val="28"/>
          <w:szCs w:val="28"/>
          <w:lang w:eastAsia="ru-RU"/>
        </w:rPr>
        <w:t xml:space="preserve">Закупки по 223-ФЗ [2]. </w:t>
      </w:r>
      <w:r>
        <w:rPr>
          <w:rFonts w:ascii="Times New Roman" w:hAnsi="Times New Roman" w:eastAsia="Times New Roman" w:cs="Times New Roman"/>
          <w:color w:val="121212"/>
          <w:sz w:val="28"/>
          <w:szCs w:val="28"/>
          <w:lang w:eastAsia="ru-RU"/>
        </w:rPr>
        <w:t xml:space="preserve">Их проводят компании с долей государственного имущества от 50%, их дочерние предприятия, естественные монополии (нефтегазовые компании, РЖД и другие) и организации, которые занимаются регулируемыми видами деятельности (энергетика, водоснабжение). По этому закону производят также закупки бюджетные учреждения, за счет грантов, средств субподряда и собственных денег. 223-ФЗ дает больше свободы действий Заказчику. Например, организация может проводить закупки на любой ЭТП, установить свои критерии отбора победителей, сроки проведения закупок. Исключение составляют только закупки у предприятий малого и среднего бизнеса, </w:t>
      </w:r>
      <w:r>
        <w:rPr>
          <w:rFonts w:ascii="Times New Roman" w:hAnsi="Times New Roman" w:eastAsia="Times New Roman" w:cs="Times New Roman"/>
          <w:sz w:val="28"/>
          <w:szCs w:val="28"/>
          <w:lang w:eastAsia="ru-RU"/>
        </w:rPr>
        <w:t xml:space="preserve">которые </w:t>
      </w:r>
      <w:r>
        <w:rPr>
          <w:rFonts w:ascii="Times New Roman" w:hAnsi="Times New Roman" w:eastAsia="Times New Roman" w:cs="Times New Roman"/>
          <w:color w:val="121212"/>
          <w:sz w:val="28"/>
          <w:szCs w:val="28"/>
          <w:lang w:eastAsia="ru-RU"/>
        </w:rPr>
        <w:t>могут проводить их на ЭТП госзакупок четырьмя видами: аукцион, конкурс, запрос котировок и предложений. </w:t>
      </w:r>
    </w:p>
    <w:p>
      <w:pPr>
        <w:shd w:val="clear" w:color="auto" w:fill="FFFFFF"/>
        <w:spacing w:after="0" w:line="360" w:lineRule="auto"/>
        <w:ind w:firstLine="709"/>
        <w:jc w:val="both"/>
        <w:rPr>
          <w:rFonts w:ascii="Times New Roman" w:hAnsi="Times New Roman" w:eastAsia="Times New Roman" w:cs="Times New Roman"/>
          <w:color w:val="121212"/>
          <w:sz w:val="28"/>
          <w:szCs w:val="28"/>
          <w:lang w:eastAsia="ru-RU"/>
        </w:rPr>
      </w:pPr>
      <w:r>
        <w:rPr>
          <w:rFonts w:ascii="Times New Roman" w:hAnsi="Times New Roman" w:eastAsia="Times New Roman" w:cs="Times New Roman"/>
          <w:b/>
          <w:bCs/>
          <w:color w:val="121212"/>
          <w:sz w:val="28"/>
          <w:szCs w:val="28"/>
          <w:lang w:eastAsia="ru-RU"/>
        </w:rPr>
        <w:t>Коммерческие закупки. </w:t>
      </w:r>
      <w:r>
        <w:rPr>
          <w:rFonts w:ascii="Times New Roman" w:hAnsi="Times New Roman" w:eastAsia="Times New Roman" w:cs="Times New Roman"/>
          <w:color w:val="121212"/>
          <w:sz w:val="28"/>
          <w:szCs w:val="28"/>
          <w:lang w:eastAsia="ru-RU"/>
        </w:rPr>
        <w:t>Их проводят коммерческие организации. Заказчики сами определяют правила проведения закупок и требования к поставщикам. Конкурсы и аукционы проводятся в соответствии с Гражданским кодексом РФ.</w:t>
      </w:r>
    </w:p>
    <w:p>
      <w:pPr>
        <w:shd w:val="clear" w:color="auto" w:fill="FFFFFF"/>
        <w:spacing w:after="0" w:line="360" w:lineRule="auto"/>
        <w:ind w:firstLine="709"/>
        <w:jc w:val="both"/>
        <w:rPr>
          <w:rFonts w:ascii="Times New Roman" w:hAnsi="Times New Roman" w:eastAsia="Calibri" w:cs="Times New Roman"/>
          <w:color w:val="000000"/>
          <w:sz w:val="28"/>
          <w:szCs w:val="28"/>
        </w:rPr>
      </w:pPr>
      <w:r>
        <w:rPr>
          <w:rFonts w:ascii="Times New Roman" w:hAnsi="Times New Roman" w:eastAsia="Calibri" w:cs="Times New Roman"/>
          <w:color w:val="92D050"/>
          <w:sz w:val="28"/>
          <w:szCs w:val="28"/>
        </w:rPr>
        <w:t xml:space="preserve"> </w:t>
      </w:r>
      <w:r>
        <w:rPr>
          <w:rFonts w:ascii="Times New Roman" w:hAnsi="Times New Roman" w:eastAsia="Calibri" w:cs="Times New Roman"/>
          <w:color w:val="000000"/>
          <w:sz w:val="28"/>
          <w:szCs w:val="28"/>
        </w:rPr>
        <w:t xml:space="preserve">Закупки по 44-ФЗ обязательно публикуются Заказчиком на сайте zakupki.gov.ru — в Единой информационной системе закупок (ЕИС). При этом электронные процедуры дублируются на восьми федеральных электронных площадках: Сбербанк-АСТ, РТС-тендер, Росэлторг, НЭП, ZakazRF, Lot-online, ТЭК-Торг, ЭТП Газпромбанка (ГПБ), что расширяет возможность Поставщика, зарегистрированного на одной из них. </w:t>
      </w:r>
    </w:p>
    <w:p>
      <w:pPr>
        <w:shd w:val="clear" w:color="auto" w:fill="FFFFFF"/>
        <w:spacing w:after="0" w:line="360" w:lineRule="auto"/>
        <w:ind w:firstLine="709"/>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Закупки по 223-ФЗ также публикуются на zakupki.gov.ru и на электронных площадках, которые соответствуют требованиям Заказчика, а также по усмотрению заказчика на его собственном сайте или на коммерческих торговых площадках [7].</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bCs/>
          <w:sz w:val="28"/>
          <w:szCs w:val="28"/>
          <w:shd w:val="clear" w:color="auto" w:fill="FFFFFF"/>
        </w:rPr>
        <w:t xml:space="preserve">Практика применения 44 – ФЗ и 223 – ФЗ в закупочной деятельности посреднических компаний, позволяет говорить о ряде недостатков, которые </w:t>
      </w:r>
      <w:r>
        <w:rPr>
          <w:rFonts w:ascii="Times New Roman" w:hAnsi="Times New Roman" w:eastAsia="Calibri" w:cs="Times New Roman"/>
          <w:sz w:val="28"/>
          <w:szCs w:val="28"/>
        </w:rPr>
        <w:t xml:space="preserve">усложняют процедуру закупок. </w:t>
      </w:r>
    </w:p>
    <w:p>
      <w:pPr>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Изменения в законодательстве направлены на то, чтобы сделать закупки более объективными и «прозрачными», как с точки зрения Заказчика, так и с точки зрения Поставщика. Однако большой объем часто меняющейся информации не всегда позволяет своевременно </w:t>
      </w:r>
      <w:r>
        <w:rPr>
          <w:rFonts w:ascii="Times New Roman" w:hAnsi="Times New Roman" w:eastAsia="Calibri" w:cs="Times New Roman"/>
          <w:color w:val="000000"/>
          <w:sz w:val="28"/>
          <w:szCs w:val="28"/>
        </w:rPr>
        <w:t>выявить</w:t>
      </w:r>
      <w:r>
        <w:rPr>
          <w:rFonts w:ascii="Times New Roman" w:hAnsi="Times New Roman" w:eastAsia="Calibri" w:cs="Times New Roman"/>
          <w:color w:val="00B0F0"/>
          <w:sz w:val="28"/>
          <w:szCs w:val="28"/>
        </w:rPr>
        <w:t xml:space="preserve"> </w:t>
      </w:r>
      <w:r>
        <w:rPr>
          <w:rFonts w:ascii="Times New Roman" w:hAnsi="Times New Roman" w:eastAsia="Calibri" w:cs="Times New Roman"/>
          <w:sz w:val="28"/>
          <w:szCs w:val="28"/>
        </w:rPr>
        <w:t>все тонкости организации закупочных процедур. Эту информацию об изменениях необходимо постоянно не только изучать, но и анализировать с целью выявления нюансов, которые могут стать причиной отклонения заявки на участие в торгах.</w:t>
      </w:r>
    </w:p>
    <w:p>
      <w:pPr>
        <w:autoSpaceDE w:val="0"/>
        <w:spacing w:after="0" w:line="360" w:lineRule="auto"/>
        <w:ind w:firstLine="709"/>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По мнению авторитетных экспертов - контрактных управляющих и аудиторов счетной палаты, [5], [6] к несовершенствам ФЗ в системах закупок по 44-ФЗ и по 223-ФЗ относятся:</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 сложность </w:t>
      </w:r>
      <w:r>
        <w:rPr>
          <w:rFonts w:ascii="Times New Roman" w:hAnsi="Times New Roman" w:eastAsia="Times New Roman CYR" w:cs="Times New Roman"/>
          <w:sz w:val="28"/>
          <w:szCs w:val="28"/>
        </w:rPr>
        <w:t>формулировок</w:t>
      </w:r>
      <w:r>
        <w:rPr>
          <w:rFonts w:ascii="Times New Roman" w:hAnsi="Times New Roman" w:eastAsia="Times New Roman CYR" w:cs="Times New Roman"/>
          <w:color w:val="000000"/>
          <w:sz w:val="28"/>
          <w:szCs w:val="28"/>
        </w:rPr>
        <w:t xml:space="preserve"> норм ФЗ; </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 необходимость постоянного переобучения персонала в связи с частыми изменениями законов;</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 многообразие способов закупки (аукцион, запрос котировок и т.д.);</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 проблема обоснования начальной максимальной цены/достоверность НМЦ (завышение или занижение ее как со стороны заказчика, так и со стороны поставщика); </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B050"/>
          <w:sz w:val="28"/>
          <w:szCs w:val="28"/>
        </w:rPr>
      </w:pPr>
      <w:r>
        <w:rPr>
          <w:rFonts w:ascii="Times New Roman" w:hAnsi="Times New Roman" w:eastAsia="Times New Roman CYR" w:cs="Times New Roman"/>
          <w:sz w:val="28"/>
          <w:szCs w:val="28"/>
        </w:rPr>
        <w:t>противоречи</w:t>
      </w:r>
      <w:r>
        <w:rPr>
          <w:rFonts w:ascii="Times New Roman" w:hAnsi="Times New Roman" w:eastAsia="Times New Roman CYR" w:cs="Times New Roman"/>
          <w:color w:val="000000"/>
          <w:sz w:val="28"/>
          <w:szCs w:val="28"/>
        </w:rPr>
        <w:t xml:space="preserve">вые формулировки ФЗ. Анализ практики заключения контрактов по итогам электронных аукционов показал, что в ряде случаев победители представляют протокол разногласий на размещенный заказчиком проект контракта в течение тринадцати дней после размещения на официальном сайте заказчика протокола подведения итогов аукциона, как того требует ст. 70 44-ФЗ. Однако контракт должен быть подписан победителем аукциона не позднее десяти дней после размещения протокола подведения итогов аукциона на официальном сайте заказчика, иначе он признается уклонившимся от подписания контракта. То есть сроки подписания контракта победителем аукциона и сроки направления им протокола разногласий </w:t>
      </w:r>
      <w:r>
        <w:rPr>
          <w:rFonts w:ascii="Times New Roman" w:hAnsi="Times New Roman" w:eastAsia="Times New Roman CYR" w:cs="Times New Roman"/>
          <w:sz w:val="28"/>
          <w:szCs w:val="28"/>
        </w:rPr>
        <w:t>часто отличаются;</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проблема приемки товаров (работ, услуг); </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коррупционные схемы. Недобросовестные организации - заказчики при запросах предложений и котировок (в отличие от электронного аукциона) могут устанавливать правила описания закупки участником. Это позволяет отклонять «нежелательных» участников. </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низкое качество товаров. Основным критерием для победы, в большинстве случаев, является цена. Качество</w:t>
      </w:r>
      <w:r>
        <w:rPr>
          <w:rFonts w:ascii="Times New Roman" w:hAnsi="Times New Roman" w:eastAsia="Times New Roman CYR" w:cs="Times New Roman"/>
          <w:color w:val="00B050"/>
          <w:sz w:val="28"/>
          <w:szCs w:val="28"/>
        </w:rPr>
        <w:t xml:space="preserve"> </w:t>
      </w:r>
      <w:r>
        <w:rPr>
          <w:rFonts w:ascii="Times New Roman" w:hAnsi="Times New Roman" w:eastAsia="Times New Roman CYR" w:cs="Times New Roman"/>
          <w:sz w:val="28"/>
          <w:szCs w:val="28"/>
        </w:rPr>
        <w:t>приобретенных</w:t>
      </w:r>
      <w:r>
        <w:rPr>
          <w:rFonts w:ascii="Times New Roman" w:hAnsi="Times New Roman" w:eastAsia="Times New Roman CYR" w:cs="Times New Roman"/>
          <w:color w:val="00B050"/>
          <w:sz w:val="28"/>
          <w:szCs w:val="28"/>
        </w:rPr>
        <w:t xml:space="preserve"> </w:t>
      </w:r>
      <w:r>
        <w:rPr>
          <w:rFonts w:ascii="Times New Roman" w:hAnsi="Times New Roman" w:eastAsia="Times New Roman CYR" w:cs="Times New Roman"/>
          <w:color w:val="000000"/>
          <w:sz w:val="28"/>
          <w:szCs w:val="28"/>
        </w:rPr>
        <w:t xml:space="preserve">товары не всегда соответствуют ожидаемому.  Но у Заказчиков нет рычагов воздействия на недобросовестных участников торгов, поскольку это противоречит принципам открытости и доступности системы закупок. </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срыв торгов. Госзаказ актуален в течение определенного временного периода. При срыве торгов и переносе заказа на иное время смысл его меняется в связи с сезонностью востребованности товара. </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принцип равноправия организаций к исполнению Заказа; </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демпингование - сильное снижение цены, что способно исключить победу организаций, стремящихся снизить свои репутационные риски и выполняющих условия госконтракта на высоком уровне; </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участие в торгах однодневных компаний. Они создаются с целью препятствия в участии добросовестных участников контрактных отношений. </w:t>
      </w:r>
    </w:p>
    <w:p>
      <w:pPr>
        <w:numPr>
          <w:ilvl w:val="0"/>
          <w:numId w:val="10"/>
        </w:numPr>
        <w:autoSpaceDE w:val="0"/>
        <w:spacing w:after="0" w:line="360" w:lineRule="auto"/>
        <w:ind w:left="0" w:firstLine="709"/>
        <w:contextualSpacing/>
        <w:jc w:val="both"/>
        <w:rPr>
          <w:rFonts w:ascii="Times New Roman" w:hAnsi="Times New Roman" w:eastAsia="Times New Roman CYR" w:cs="Times New Roman"/>
          <w:color w:val="000000"/>
          <w:sz w:val="28"/>
          <w:szCs w:val="28"/>
        </w:rPr>
      </w:pPr>
      <w:r>
        <w:rPr>
          <w:rFonts w:ascii="Times New Roman" w:hAnsi="Times New Roman" w:eastAsia="Times New Roman CYR" w:cs="Times New Roman"/>
          <w:color w:val="000000"/>
          <w:sz w:val="28"/>
          <w:szCs w:val="28"/>
        </w:rPr>
        <w:t xml:space="preserve"> отсутствие исчерпывающего перечня конкурентных способов закупки. Это отсутствие единого перечня оснований для заключения договора с единственным поставщиком. Это слишком большое количество электронных торговых площадок (ЭТП), что так же ограничивает конкуренцию. Потенциальным поставщикам приходится регистрироваться на каждой из них, что требует времени и денег. </w:t>
      </w:r>
    </w:p>
    <w:p>
      <w:pPr>
        <w:spacing w:after="0" w:line="360" w:lineRule="auto"/>
        <w:ind w:firstLine="709"/>
        <w:jc w:val="both"/>
        <w:rPr>
          <w:rFonts w:ascii="Times New Roman" w:hAnsi="Times New Roman" w:eastAsia="Times New Roman CYR" w:cs="Times New Roman"/>
          <w:color w:val="000000"/>
          <w:sz w:val="28"/>
          <w:szCs w:val="28"/>
        </w:rPr>
      </w:pPr>
      <w:r>
        <w:rPr>
          <w:rFonts w:ascii="Times New Roman" w:hAnsi="Times New Roman" w:eastAsia="Calibri" w:cs="Times New Roman"/>
          <w:sz w:val="28"/>
          <w:szCs w:val="28"/>
        </w:rPr>
        <w:t>Кроме отмеченных выше недостатков в законодательной базе, которая подвергается постоянным изменениям и дополнениям, следует отметить ряд положительных моментов. У</w:t>
      </w:r>
      <w:r>
        <w:rPr>
          <w:rFonts w:ascii="Times New Roman" w:hAnsi="Times New Roman" w:eastAsia="Times New Roman CYR" w:cs="Times New Roman"/>
          <w:color w:val="000000"/>
          <w:sz w:val="28"/>
          <w:szCs w:val="28"/>
        </w:rPr>
        <w:t xml:space="preserve">становлены приоритеты для определенных групп участников, таких как субъекты малого и среднего предпринимательства. Реализуется программа поддержки отечественного производителя. Поставка данной группы товаров имеет приоритет перед иностранными товарами. Проведена корректировка антидемпинговых мер. Предусмотрены обеспечение заявки (в виде банковской гарантии или путем перечисления денежных средств на специальный счет, счет на ЭТП или на счет Заказчика), обеспечение контракта (посредствам </w:t>
      </w:r>
      <w:r>
        <w:rPr>
          <w:rFonts w:ascii="Times New Roman" w:hAnsi="Times New Roman" w:eastAsia="Calibri" w:cs="Times New Roman"/>
          <w:color w:val="121212"/>
          <w:sz w:val="28"/>
          <w:szCs w:val="28"/>
          <w:shd w:val="clear" w:color="auto" w:fill="FFFFFF"/>
        </w:rPr>
        <w:t>банковской гарантии или путем перечисления денежных средств на счет Заказчика).</w:t>
      </w:r>
      <w:r>
        <w:rPr>
          <w:rFonts w:ascii="Times New Roman" w:hAnsi="Times New Roman" w:eastAsia="Times New Roman CYR" w:cs="Times New Roman"/>
          <w:color w:val="000000"/>
          <w:sz w:val="28"/>
          <w:szCs w:val="28"/>
        </w:rPr>
        <w:t xml:space="preserve"> Однако они применяются не всегда, и, как правило, не гарантируют честности в проведении торгов.</w:t>
      </w:r>
    </w:p>
    <w:p>
      <w:pPr>
        <w:autoSpaceDE w:val="0"/>
        <w:spacing w:after="0" w:line="36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Из анализа проблем реализации федерального законодательства следует, что современная система контрактных отношений весьма проблематична и для Заказчиков, и для исполнителей.</w:t>
      </w:r>
      <w:r>
        <w:rPr>
          <w:rFonts w:ascii="Times New Roman" w:hAnsi="Times New Roman" w:eastAsia="Calibri" w:cs="Times New Roman"/>
          <w:color w:val="00B050"/>
          <w:sz w:val="28"/>
          <w:szCs w:val="28"/>
        </w:rPr>
        <w:t xml:space="preserve"> </w:t>
      </w:r>
      <w:r>
        <w:rPr>
          <w:rFonts w:ascii="Times New Roman" w:hAnsi="Times New Roman" w:eastAsia="Calibri" w:cs="Times New Roman"/>
          <w:sz w:val="28"/>
          <w:szCs w:val="28"/>
        </w:rPr>
        <w:t xml:space="preserve">Для правильной и результативной работы указанной системы необходим набор ключевых мероприятий по ее совершенствованию. В частности, к таким мероприятиям могут быть отнесены внесение поправок в существующие статьи ФЗ или принятие подзаконных нормативно-правовых актов. Решение проблем закупок должно быть комплексным. Необходимо заниматься совершенствованием системы контрактных отношений по всем направлениям, отлаживая ее функционал до нормативно-целевого механизма. </w:t>
      </w:r>
    </w:p>
    <w:p>
      <w:pPr>
        <w:autoSpaceDE w:val="0"/>
        <w:spacing w:after="0" w:line="360" w:lineRule="auto"/>
        <w:ind w:firstLine="709"/>
        <w:jc w:val="both"/>
        <w:rPr>
          <w:rFonts w:ascii="Times New Roman" w:hAnsi="Times New Roman" w:eastAsia="Calibri" w:cs="Times New Roman"/>
          <w:bCs/>
          <w:sz w:val="28"/>
          <w:szCs w:val="28"/>
          <w:shd w:val="clear" w:color="auto" w:fill="FFFFFF"/>
        </w:rPr>
      </w:pPr>
    </w:p>
    <w:p>
      <w:pPr>
        <w:autoSpaceDE w:val="0"/>
        <w:spacing w:after="0" w:line="360" w:lineRule="auto"/>
        <w:ind w:firstLine="709"/>
        <w:jc w:val="center"/>
        <w:rPr>
          <w:rFonts w:ascii="Times New Roman" w:hAnsi="Times New Roman" w:eastAsia="Calibri" w:cs="Times New Roman"/>
          <w:b/>
          <w:color w:val="000000"/>
          <w:sz w:val="28"/>
          <w:szCs w:val="28"/>
          <w:shd w:val="clear" w:color="auto" w:fill="FFFFFF"/>
        </w:rPr>
      </w:pPr>
      <w:r>
        <w:rPr>
          <w:rFonts w:ascii="Times New Roman" w:hAnsi="Times New Roman" w:eastAsia="Calibri" w:cs="Times New Roman"/>
          <w:b/>
          <w:color w:val="000000"/>
          <w:sz w:val="28"/>
          <w:szCs w:val="28"/>
          <w:shd w:val="clear" w:color="auto" w:fill="FFFFFF"/>
        </w:rPr>
        <w:t>Библиографический список:</w:t>
      </w:r>
    </w:p>
    <w:p>
      <w:pPr>
        <w:numPr>
          <w:ilvl w:val="0"/>
          <w:numId w:val="11"/>
        </w:numPr>
        <w:spacing w:after="0" w:line="360" w:lineRule="auto"/>
        <w:ind w:left="0" w:firstLine="709"/>
        <w:contextualSpacing/>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Федеральный закон «О контрактной системе в сфере закупок товаров, работ, услуг для обеспечения государственных и муниципальных нужд» от 05.04.2013 г. № 44-ФЗ – Режим доступа: http://www.consultant.ru/document/cons_doc_LAW_144624/ </w:t>
      </w:r>
      <w:r>
        <w:rPr>
          <w:rFonts w:ascii="Times New Roman" w:hAnsi="Times New Roman" w:eastAsia="Times New Roman" w:cs="Times New Roman"/>
          <w:color w:val="000000"/>
          <w:sz w:val="28"/>
          <w:szCs w:val="28"/>
          <w:lang w:eastAsia="ru-RU"/>
        </w:rPr>
        <w:t>(дата обращения: 01.03.2020).</w:t>
      </w:r>
    </w:p>
    <w:p>
      <w:pPr>
        <w:numPr>
          <w:ilvl w:val="0"/>
          <w:numId w:val="11"/>
        </w:numPr>
        <w:spacing w:after="0" w:line="360" w:lineRule="auto"/>
        <w:ind w:left="0" w:firstLine="709"/>
        <w:contextualSpacing/>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Федеральный закон "О закупках товаров, работ, услуг отдельными видами юридических лиц" от 18.07.2011 № 223-ФЗ (последняя редакция). Режим доступа: </w:t>
      </w:r>
      <w:r>
        <w:fldChar w:fldCharType="begin"/>
      </w:r>
      <w:r>
        <w:instrText xml:space="preserve"> HYPERLINK "http://www.consultant.ru/document/cons_doc_LAW_116964/" </w:instrText>
      </w:r>
      <w:r>
        <w:fldChar w:fldCharType="separate"/>
      </w:r>
      <w:r>
        <w:rPr>
          <w:rFonts w:ascii="Times New Roman" w:hAnsi="Times New Roman" w:eastAsia="Calibri" w:cs="Times New Roman"/>
          <w:color w:val="000000"/>
          <w:sz w:val="28"/>
          <w:szCs w:val="28"/>
        </w:rPr>
        <w:t>http://www.consultant.ru/document/cons_doc_LAW_116964/</w:t>
      </w:r>
      <w:r>
        <w:rPr>
          <w:rFonts w:ascii="Times New Roman" w:hAnsi="Times New Roman" w:eastAsia="Calibri" w:cs="Times New Roman"/>
          <w:color w:val="000000"/>
          <w:sz w:val="28"/>
          <w:szCs w:val="28"/>
        </w:rPr>
        <w:fldChar w:fldCharType="end"/>
      </w:r>
      <w:r>
        <w:rPr>
          <w:rFonts w:ascii="Times New Roman" w:hAnsi="Times New Roman" w:eastAsia="Calibri" w:cs="Times New Roman"/>
          <w:color w:val="000000"/>
          <w:sz w:val="28"/>
          <w:szCs w:val="28"/>
        </w:rPr>
        <w:t xml:space="preserve"> (дата обращения: 01.03.2020).</w:t>
      </w:r>
    </w:p>
    <w:p>
      <w:pPr>
        <w:numPr>
          <w:ilvl w:val="0"/>
          <w:numId w:val="11"/>
        </w:numPr>
        <w:spacing w:after="0" w:line="360" w:lineRule="auto"/>
        <w:ind w:left="0" w:firstLine="709"/>
        <w:contextualSpacing/>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Нехаенко С.А. Роль посредничества в повышении экономической целесообразности и эффективности деятельности современных компаний // Московский экономический журнал. – 2018. – №5(2). – С. 308. </w:t>
      </w:r>
      <w:r>
        <w:rPr>
          <w:rFonts w:ascii="Times New Roman" w:hAnsi="Times New Roman" w:eastAsia="Calibri" w:cs="Times New Roman"/>
          <w:color w:val="000000"/>
          <w:sz w:val="28"/>
          <w:szCs w:val="28"/>
          <w:lang w:val="en-US"/>
        </w:rPr>
        <w:t>URL</w:t>
      </w:r>
      <w:r>
        <w:rPr>
          <w:rFonts w:ascii="Times New Roman" w:hAnsi="Times New Roman" w:eastAsia="Calibri" w:cs="Times New Roman"/>
          <w:color w:val="000000"/>
          <w:sz w:val="28"/>
          <w:szCs w:val="28"/>
        </w:rPr>
        <w:t xml:space="preserve">: </w:t>
      </w:r>
      <w:r>
        <w:fldChar w:fldCharType="begin"/>
      </w:r>
      <w:r>
        <w:instrText xml:space="preserve"> HYPERLINK "https://cyberleninka.ru/article/n/rol-posrednichestva-v-povyshenii-ekonomicheskoy-tselesoobraznosti-i-effektivnosti-deyatelnosti-sovremennyh-kompaniy" </w:instrText>
      </w:r>
      <w:r>
        <w:fldChar w:fldCharType="separate"/>
      </w:r>
      <w:r>
        <w:rPr>
          <w:rFonts w:ascii="Times New Roman" w:hAnsi="Times New Roman" w:eastAsia="Calibri" w:cs="Times New Roman"/>
          <w:color w:val="000000"/>
          <w:sz w:val="28"/>
          <w:szCs w:val="28"/>
          <w:u w:val="single"/>
          <w:lang w:val="en-US"/>
        </w:rPr>
        <w:t>https</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cyberleninka</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ru</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article</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n</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rol</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posrednichestva</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v</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povyshenii</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ekonomicheskoy</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tselesoobraznosti</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i</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effektivnosti</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deyatelnosti</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sovremennyh</w:t>
      </w:r>
      <w:r>
        <w:rPr>
          <w:rFonts w:ascii="Times New Roman" w:hAnsi="Times New Roman" w:eastAsia="Calibri" w:cs="Times New Roman"/>
          <w:color w:val="000000"/>
          <w:sz w:val="28"/>
          <w:szCs w:val="28"/>
          <w:u w:val="single"/>
        </w:rPr>
        <w:t>-</w:t>
      </w:r>
      <w:r>
        <w:rPr>
          <w:rFonts w:ascii="Times New Roman" w:hAnsi="Times New Roman" w:eastAsia="Calibri" w:cs="Times New Roman"/>
          <w:color w:val="000000"/>
          <w:sz w:val="28"/>
          <w:szCs w:val="28"/>
          <w:u w:val="single"/>
          <w:lang w:val="en-US"/>
        </w:rPr>
        <w:t>kompaniy</w:t>
      </w:r>
      <w:r>
        <w:rPr>
          <w:rFonts w:ascii="Times New Roman" w:hAnsi="Times New Roman" w:eastAsia="Calibri" w:cs="Times New Roman"/>
          <w:color w:val="000000"/>
          <w:sz w:val="28"/>
          <w:szCs w:val="28"/>
          <w:u w:val="single"/>
          <w:lang w:val="en-US"/>
        </w:rPr>
        <w:fldChar w:fldCharType="end"/>
      </w:r>
      <w:r>
        <w:rPr>
          <w:rFonts w:ascii="Times New Roman" w:hAnsi="Times New Roman" w:eastAsia="Calibri" w:cs="Times New Roman"/>
          <w:color w:val="000000"/>
          <w:sz w:val="28"/>
          <w:szCs w:val="28"/>
        </w:rPr>
        <w:t xml:space="preserve"> (дата обращения: 01.03.2020).</w:t>
      </w:r>
    </w:p>
    <w:p>
      <w:pPr>
        <w:numPr>
          <w:ilvl w:val="0"/>
          <w:numId w:val="11"/>
        </w:numPr>
        <w:spacing w:after="0" w:line="360" w:lineRule="auto"/>
        <w:ind w:left="0" w:firstLine="709"/>
        <w:contextualSpacing/>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Степанова Е.Е. Правовое регулирование профессиональной деятельности : учеб. пособие / Е.Е. Степанова. – СПб. : ФГБОУ ВО ПГУПС, 2019. – С. 17.</w:t>
      </w:r>
    </w:p>
    <w:p>
      <w:pPr>
        <w:numPr>
          <w:ilvl w:val="0"/>
          <w:numId w:val="11"/>
        </w:numPr>
        <w:spacing w:after="0" w:line="360" w:lineRule="auto"/>
        <w:ind w:left="0" w:firstLine="709"/>
        <w:contextualSpacing/>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Шацкий Д.Е. Система контрактных отношений в России: анализ проблем реализации Федерального законодательства // Экономика: проблемы, решения и перспективы. Вестник университета. – 2018. – №3. – С. 109 – 113. </w:t>
      </w:r>
      <w:r>
        <w:rPr>
          <w:rFonts w:ascii="Times New Roman" w:hAnsi="Times New Roman" w:eastAsia="Times New Roman" w:cs="Times New Roman"/>
          <w:color w:val="000000"/>
          <w:sz w:val="28"/>
          <w:szCs w:val="28"/>
          <w:lang w:eastAsia="ru-RU"/>
        </w:rPr>
        <w:t xml:space="preserve">URL: </w:t>
      </w:r>
      <w:r>
        <w:fldChar w:fldCharType="begin"/>
      </w:r>
      <w:r>
        <w:instrText xml:space="preserve"> HYPERLINK "https://cyberleninka.ru/article/n/sistema-kontraktnyh-otnosheniy-v-rossii-analiz-problem-realizatsii-federalnogo-zakonodatelstva" </w:instrText>
      </w:r>
      <w:r>
        <w:fldChar w:fldCharType="separate"/>
      </w:r>
      <w:r>
        <w:rPr>
          <w:rFonts w:ascii="Times New Roman" w:hAnsi="Times New Roman" w:eastAsia="Times New Roman" w:cs="Times New Roman"/>
          <w:color w:val="000000"/>
          <w:sz w:val="28"/>
          <w:szCs w:val="28"/>
          <w:u w:val="single"/>
          <w:lang w:eastAsia="ru-RU"/>
        </w:rPr>
        <w:t>https://cyberleninka.ru/article/n/sistema-kontraktnyh-otnosheniy-v-rossii-analiz-problem-realizatsii-federalnogo-zakonodatelstva</w:t>
      </w:r>
      <w:r>
        <w:rPr>
          <w:rFonts w:ascii="Times New Roman" w:hAnsi="Times New Roman" w:eastAsia="Times New Roman" w:cs="Times New Roman"/>
          <w:color w:val="000000"/>
          <w:sz w:val="28"/>
          <w:szCs w:val="28"/>
          <w:u w:val="single"/>
          <w:lang w:eastAsia="ru-RU"/>
        </w:rPr>
        <w:fldChar w:fldCharType="end"/>
      </w:r>
      <w:r>
        <w:rPr>
          <w:rFonts w:ascii="Times New Roman" w:hAnsi="Times New Roman" w:eastAsia="Times New Roman" w:cs="Times New Roman"/>
          <w:color w:val="000000"/>
          <w:sz w:val="28"/>
          <w:szCs w:val="28"/>
          <w:lang w:eastAsia="ru-RU"/>
        </w:rPr>
        <w:t xml:space="preserve"> (дата обращения: 01.03.2020).</w:t>
      </w:r>
    </w:p>
    <w:p>
      <w:pPr>
        <w:numPr>
          <w:ilvl w:val="0"/>
          <w:numId w:val="11"/>
        </w:numPr>
        <w:spacing w:after="0" w:line="360" w:lineRule="auto"/>
        <w:ind w:left="0" w:firstLine="709"/>
        <w:contextualSpacing/>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shd w:val="clear" w:color="auto" w:fill="FFFFFF"/>
        </w:rPr>
        <w:t xml:space="preserve">Замечания аудитора. Счетная палата отметила недостатки в системах закупок по 44-ФЗ и по 223-ФЗ [Электронный ресурс] </w:t>
      </w:r>
      <w:r>
        <w:rPr>
          <w:rFonts w:ascii="Times New Roman" w:hAnsi="Times New Roman" w:eastAsia="Times New Roman" w:cs="Times New Roman"/>
          <w:color w:val="000000"/>
          <w:sz w:val="28"/>
          <w:szCs w:val="28"/>
          <w:lang w:eastAsia="ru-RU"/>
        </w:rPr>
        <w:t xml:space="preserve">// Архив журнала «Московские торги» URL: </w:t>
      </w:r>
      <w:r>
        <w:fldChar w:fldCharType="begin"/>
      </w:r>
      <w:r>
        <w:instrText xml:space="preserve"> HYPERLINK "https://www.moscowtorgi.ru/news/Kontraktnaya_sistema/5853/" </w:instrText>
      </w:r>
      <w:r>
        <w:fldChar w:fldCharType="separate"/>
      </w:r>
      <w:r>
        <w:rPr>
          <w:rFonts w:ascii="Times New Roman" w:hAnsi="Times New Roman" w:eastAsia="Calibri" w:cs="Times New Roman"/>
          <w:color w:val="000000"/>
          <w:sz w:val="28"/>
          <w:szCs w:val="28"/>
          <w:u w:val="single"/>
        </w:rPr>
        <w:t>https://www.moscowtorgi.ru/news/Kontraktnaya_sistema/5853/</w:t>
      </w:r>
      <w:r>
        <w:rPr>
          <w:rFonts w:ascii="Times New Roman" w:hAnsi="Times New Roman" w:eastAsia="Calibri" w:cs="Times New Roman"/>
          <w:color w:val="000000"/>
          <w:sz w:val="28"/>
          <w:szCs w:val="28"/>
          <w:u w:val="single"/>
        </w:rPr>
        <w:fldChar w:fldCharType="end"/>
      </w:r>
      <w:r>
        <w:rPr>
          <w:rFonts w:ascii="Times New Roman" w:hAnsi="Times New Roman" w:eastAsia="Times New Roman" w:cs="Times New Roman"/>
          <w:color w:val="000000"/>
          <w:sz w:val="28"/>
          <w:szCs w:val="28"/>
          <w:lang w:eastAsia="ru-RU"/>
        </w:rPr>
        <w:t xml:space="preserve"> (дата обращения: 01.03.2020). </w:t>
      </w:r>
    </w:p>
    <w:p>
      <w:pPr>
        <w:numPr>
          <w:ilvl w:val="0"/>
          <w:numId w:val="11"/>
        </w:numPr>
        <w:spacing w:after="0" w:line="360" w:lineRule="auto"/>
        <w:ind w:left="0" w:firstLine="709"/>
        <w:contextualSpacing/>
        <w:jc w:val="both"/>
        <w:rPr>
          <w:rFonts w:ascii="Times New Roman" w:hAnsi="Times New Roman" w:eastAsia="Calibri" w:cs="Times New Roman"/>
          <w:color w:val="000000"/>
          <w:sz w:val="28"/>
          <w:szCs w:val="28"/>
        </w:rPr>
      </w:pPr>
      <w:r>
        <w:rPr>
          <w:rFonts w:ascii="Times New Roman" w:hAnsi="Times New Roman" w:eastAsia="Times New Roman" w:cs="Times New Roman"/>
          <w:color w:val="000000"/>
          <w:sz w:val="28"/>
          <w:szCs w:val="28"/>
          <w:lang w:eastAsia="ru-RU"/>
        </w:rPr>
        <w:t>Руководство по участию в закупках [Электронный ресурс] // Контур. Закупки – веб – сервис для оперативного поиска коммерческих и государственных закупок URL :</w:t>
      </w:r>
      <w:r>
        <w:rPr>
          <w:rFonts w:ascii="Times New Roman" w:hAnsi="Times New Roman" w:eastAsia="Calibri" w:cs="Times New Roman"/>
          <w:color w:val="000000"/>
          <w:sz w:val="28"/>
          <w:szCs w:val="28"/>
        </w:rPr>
        <w:t xml:space="preserve"> </w:t>
      </w:r>
      <w:r>
        <w:fldChar w:fldCharType="begin"/>
      </w:r>
      <w:r>
        <w:instrText xml:space="preserve"> HYPERLINK "https://zakupki.kontur.ru/site/articles/91-guide" </w:instrText>
      </w:r>
      <w:r>
        <w:fldChar w:fldCharType="separate"/>
      </w:r>
      <w:r>
        <w:rPr>
          <w:rFonts w:ascii="Times New Roman" w:hAnsi="Times New Roman" w:eastAsia="Times New Roman" w:cs="Times New Roman"/>
          <w:color w:val="000000"/>
          <w:sz w:val="28"/>
          <w:szCs w:val="28"/>
          <w:u w:val="single"/>
          <w:lang w:eastAsia="ru-RU"/>
        </w:rPr>
        <w:t>https://zakupki.kontur.ru/site/articles/91-guide</w:t>
      </w:r>
      <w:r>
        <w:rPr>
          <w:rFonts w:ascii="Times New Roman" w:hAnsi="Times New Roman" w:eastAsia="Times New Roman" w:cs="Times New Roman"/>
          <w:color w:val="000000"/>
          <w:sz w:val="28"/>
          <w:szCs w:val="28"/>
          <w:u w:val="single"/>
          <w:lang w:eastAsia="ru-RU"/>
        </w:rPr>
        <w:fldChar w:fldCharType="end"/>
      </w:r>
      <w:r>
        <w:rPr>
          <w:rFonts w:ascii="Times New Roman" w:hAnsi="Times New Roman" w:eastAsia="Times New Roman" w:cs="Times New Roman"/>
          <w:color w:val="000000"/>
          <w:sz w:val="28"/>
          <w:szCs w:val="28"/>
          <w:lang w:eastAsia="ru-RU"/>
        </w:rPr>
        <w:t xml:space="preserve"> / (дата обращения: 01.03.2020).</w:t>
      </w:r>
    </w:p>
    <w:p>
      <w:pPr>
        <w:spacing w:after="0"/>
        <w:rPr>
          <w:rFonts w:ascii="Times New Roman" w:hAnsi="Times New Roman" w:eastAsia="Calibri" w:cs="Times New Roman"/>
          <w:color w:val="000000"/>
          <w:sz w:val="28"/>
          <w:szCs w:val="28"/>
          <w:shd w:val="clear" w:color="auto" w:fill="FFFFFF"/>
        </w:rPr>
      </w:pPr>
      <w:r>
        <w:rPr>
          <w:rFonts w:ascii="Times New Roman" w:hAnsi="Times New Roman" w:eastAsia="Calibri" w:cs="Times New Roman"/>
          <w:color w:val="000000"/>
          <w:sz w:val="28"/>
          <w:szCs w:val="28"/>
          <w:shd w:val="clear" w:color="auto" w:fill="FFFFFF"/>
        </w:rPr>
        <w:br w:type="page"/>
      </w:r>
    </w:p>
    <w:p>
      <w:pPr>
        <w:spacing w:after="0" w:line="360" w:lineRule="auto"/>
        <w:jc w:val="right"/>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Е. С. Юдникова *, А.И. Смолянинов **</w:t>
      </w:r>
    </w:p>
    <w:p>
      <w:pPr>
        <w:spacing w:after="0" w:line="360" w:lineRule="auto"/>
        <w:jc w:val="right"/>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Петербургский государственный университет путей сообщения</w:t>
      </w:r>
    </w:p>
    <w:p>
      <w:pPr>
        <w:spacing w:after="0" w:line="360" w:lineRule="auto"/>
        <w:jc w:val="right"/>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императора Александра I</w:t>
      </w:r>
    </w:p>
    <w:p>
      <w:pPr>
        <w:spacing w:after="0" w:line="360" w:lineRule="auto"/>
        <w:jc w:val="right"/>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Санкт-Петербург, Россия</w:t>
      </w:r>
    </w:p>
    <w:p>
      <w:pPr>
        <w:pStyle w:val="10"/>
        <w:shd w:val="clear" w:color="auto" w:fill="FFFFFF"/>
        <w:spacing w:before="0" w:beforeAutospacing="0" w:after="0" w:afterAutospacing="0" w:line="360" w:lineRule="auto"/>
        <w:ind w:hanging="794"/>
        <w:jc w:val="right"/>
        <w:rPr>
          <w:iCs/>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iCs/>
          <w:color w:val="000000" w:themeColor="text1"/>
          <w:sz w:val="28"/>
          <w:szCs w:val="28"/>
          <w14:textFill>
            <w14:solidFill>
              <w14:schemeClr w14:val="tx1"/>
            </w14:solidFill>
          </w14:textFill>
        </w:rPr>
        <w:t>д.э.н., проф.</w:t>
      </w:r>
    </w:p>
    <w:p>
      <w:pPr>
        <w:pStyle w:val="10"/>
        <w:shd w:val="clear" w:color="auto" w:fill="FFFFFF"/>
        <w:spacing w:before="0" w:beforeAutospacing="0" w:after="0" w:afterAutospacing="0" w:line="360" w:lineRule="auto"/>
        <w:ind w:hanging="794"/>
        <w:jc w:val="right"/>
        <w:rPr>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**магистрант </w:t>
      </w:r>
    </w:p>
    <w:p>
      <w:pPr>
        <w:pStyle w:val="10"/>
        <w:shd w:val="clear" w:color="auto" w:fill="FFFFFF"/>
        <w:spacing w:before="0" w:beforeAutospacing="0" w:after="0" w:afterAutospacing="0" w:line="360" w:lineRule="auto"/>
        <w:ind w:hanging="794"/>
        <w:jc w:val="right"/>
        <w:rPr>
          <w:iCs/>
          <w:color w:val="000000" w:themeColor="text1"/>
          <w:sz w:val="28"/>
          <w:szCs w:val="28"/>
          <w14:textFill>
            <w14:solidFill>
              <w14:schemeClr w14:val="tx1"/>
            </w14:solidFill>
          </w14:textFill>
        </w:rPr>
      </w:pPr>
    </w:p>
    <w:p>
      <w:pPr>
        <w:pStyle w:val="2"/>
        <w:spacing w:before="0"/>
        <w:jc w:val="center"/>
        <w:rPr>
          <w:rStyle w:val="15"/>
          <w:rFonts w:ascii="Times New Roman" w:hAnsi="Times New Roman"/>
          <w:b/>
          <w:color w:val="auto"/>
          <w:sz w:val="28"/>
          <w:szCs w:val="28"/>
          <w:u w:val="none"/>
        </w:rPr>
      </w:pPr>
      <w:r>
        <w:fldChar w:fldCharType="begin"/>
      </w:r>
      <w:r>
        <w:instrText xml:space="preserve"> HYPERLINK \l "_Toc515835147" </w:instrText>
      </w:r>
      <w:r>
        <w:fldChar w:fldCharType="separate"/>
      </w:r>
      <w:bookmarkStart w:id="21" w:name="_Toc37266323"/>
      <w:r>
        <w:rPr>
          <w:rStyle w:val="15"/>
          <w:rFonts w:ascii="Times New Roman" w:hAnsi="Times New Roman"/>
          <w:b/>
          <w:color w:val="auto"/>
          <w:sz w:val="28"/>
          <w:szCs w:val="28"/>
          <w:u w:val="none"/>
        </w:rPr>
        <w:t>СОВЕРШЕНСТВОВАНИЕ ОРГАНИЗАЦИИ ПЕРЕВОЗОК ТРАНСОРТНОЙ КОМПАНИИ НА ОСНОВЕ СОЗДАНИЯ СОБСТВЕННОГО ПАРКА АВТОМОБИЛЕЙ</w:t>
      </w:r>
      <w:bookmarkEnd w:id="21"/>
      <w:r>
        <w:rPr>
          <w:rStyle w:val="15"/>
          <w:rFonts w:ascii="Times New Roman" w:hAnsi="Times New Roman"/>
          <w:b/>
          <w:color w:val="auto"/>
          <w:sz w:val="28"/>
          <w:szCs w:val="28"/>
          <w:u w:val="none"/>
        </w:rPr>
        <w:fldChar w:fldCharType="end"/>
      </w:r>
    </w:p>
    <w:p>
      <w:pPr>
        <w:pStyle w:val="36"/>
        <w:jc w:val="center"/>
        <w:rPr>
          <w:rFonts w:cs="Times New Roman"/>
          <w:b/>
          <w:szCs w:val="28"/>
        </w:rPr>
      </w:pPr>
    </w:p>
    <w:p>
      <w:pPr>
        <w:spacing w:after="0"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Аннотация:</w:t>
      </w:r>
      <w:r>
        <w:rPr>
          <w:rFonts w:ascii="Times New Roman" w:hAnsi="Times New Roman" w:cs="Times New Roman"/>
          <w:color w:val="000000" w:themeColor="text1"/>
          <w:sz w:val="28"/>
          <w:szCs w:val="28"/>
          <w14:textFill>
            <w14:solidFill>
              <w14:schemeClr w14:val="tx1"/>
            </w14:solidFill>
          </w14:textFill>
        </w:rPr>
        <w:t xml:space="preserve"> в статье рассматриваются преимущества организации автотранспортных перевозок, классификация перевозок, осуществляемых автомобильным транспортом, достоинства использования смешанного способа перевозок с использованием </w:t>
      </w:r>
      <w:r>
        <w:rPr>
          <w:rFonts w:ascii="Times New Roman" w:hAnsi="Times New Roman" w:cs="Times New Roman"/>
          <w:sz w:val="28"/>
          <w:szCs w:val="28"/>
        </w:rPr>
        <w:t>инсорсинга  и аутсорсинга</w:t>
      </w:r>
      <w:r>
        <w:rPr>
          <w:rFonts w:ascii="Times New Roman" w:hAnsi="Times New Roman" w:cs="Times New Roman"/>
          <w:color w:val="000000" w:themeColor="text1"/>
          <w:sz w:val="28"/>
          <w:szCs w:val="28"/>
          <w14:textFill>
            <w14:solidFill>
              <w14:schemeClr w14:val="tx1"/>
            </w14:solidFill>
          </w14:textFill>
        </w:rPr>
        <w:t>, методика расчета потребного количества автотранспорта для транспортной организации.</w:t>
      </w:r>
    </w:p>
    <w:p>
      <w:pPr>
        <w:spacing w:after="0"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spacing w:after="0"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Ключевые слова:</w:t>
      </w:r>
      <w:r>
        <w:rPr>
          <w:rFonts w:ascii="Times New Roman" w:hAnsi="Times New Roman" w:cs="Times New Roman"/>
          <w:color w:val="000000" w:themeColor="text1"/>
          <w:sz w:val="28"/>
          <w:szCs w:val="28"/>
          <w14:textFill>
            <w14:solidFill>
              <w14:schemeClr w14:val="tx1"/>
            </w14:solidFill>
          </w14:textFill>
        </w:rPr>
        <w:t xml:space="preserve"> автотранспортные перевозки, классификация перевозок, собственный автопарк, количество автотранспорта.</w:t>
      </w:r>
    </w:p>
    <w:p>
      <w:pPr>
        <w:spacing w:after="0"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36"/>
        <w:rPr>
          <w:rFonts w:cs="Times New Roman"/>
          <w:szCs w:val="28"/>
        </w:rPr>
      </w:pPr>
      <w:r>
        <w:rPr>
          <w:rFonts w:cs="Times New Roman"/>
          <w:szCs w:val="28"/>
        </w:rPr>
        <w:t>В условиях формирования модели экономики развития в России особое значение приобретает совершенствование организации перевозок грузов.</w:t>
      </w:r>
    </w:p>
    <w:p>
      <w:pPr>
        <w:pStyle w:val="36"/>
        <w:rPr>
          <w:rFonts w:cs="Times New Roman"/>
          <w:szCs w:val="28"/>
        </w:rPr>
      </w:pPr>
      <w:r>
        <w:rPr>
          <w:rFonts w:cs="Times New Roman"/>
          <w:szCs w:val="28"/>
        </w:rPr>
        <w:t>По качеству транспортной инфраструктуры Россия занимает 61 место в мире или 2,8 балла из 5, в том числе по протяженности железных дорог – 3 место (86 тыс. км) с качеством железнодорожной инфраструктуры 5,4 балла из 7; автомобильных дорог – 5 место (1508 тыс. км) с качеством железнодорожной инфраструктуры 2,9 балла из 7; внутренних водных путей – 2 место (102 тыс. км), 3 место в Европе (Новороссийск) по перевалкам грузов – 147,5 млн. т. [6] Объемы перевозок грузов представлены в таблице 1. [6]</w:t>
      </w:r>
    </w:p>
    <w:p>
      <w:pPr>
        <w:pStyle w:val="36"/>
        <w:ind w:firstLine="0"/>
        <w:jc w:val="center"/>
        <w:rPr>
          <w:rFonts w:cs="Times New Roman"/>
          <w:szCs w:val="28"/>
        </w:rPr>
      </w:pPr>
      <w:r>
        <w:rPr>
          <w:rFonts w:cs="Times New Roman"/>
          <w:szCs w:val="28"/>
        </w:rPr>
        <w:t>Таблица 1 Объемы перевозок грузов (миллионов тонн)</w:t>
      </w:r>
    </w:p>
    <w:tbl>
      <w:tblPr>
        <w:tblStyle w:val="16"/>
        <w:tblW w:w="9639" w:type="dxa"/>
        <w:tblInd w:w="108" w:type="dxa"/>
        <w:tblLayout w:type="autofit"/>
        <w:tblCellMar>
          <w:top w:w="0" w:type="dxa"/>
          <w:left w:w="108" w:type="dxa"/>
          <w:bottom w:w="0" w:type="dxa"/>
          <w:right w:w="108" w:type="dxa"/>
        </w:tblCellMar>
      </w:tblPr>
      <w:tblGrid>
        <w:gridCol w:w="2644"/>
        <w:gridCol w:w="986"/>
        <w:gridCol w:w="866"/>
        <w:gridCol w:w="986"/>
        <w:gridCol w:w="1056"/>
        <w:gridCol w:w="1056"/>
        <w:gridCol w:w="2045"/>
      </w:tblGrid>
      <w:tr>
        <w:tblPrEx>
          <w:tblCellMar>
            <w:top w:w="0" w:type="dxa"/>
            <w:left w:w="108" w:type="dxa"/>
            <w:bottom w:w="0" w:type="dxa"/>
            <w:right w:w="108" w:type="dxa"/>
          </w:tblCellMar>
        </w:tblPrEx>
        <w:trPr>
          <w:trHeight w:val="735" w:hRule="atLeast"/>
        </w:trPr>
        <w:tc>
          <w:tcPr>
            <w:tcW w:w="2794" w:type="dxa"/>
            <w:tcBorders>
              <w:top w:val="single" w:color="auto" w:sz="4" w:space="0"/>
              <w:left w:val="single" w:color="auto" w:sz="4" w:space="0"/>
              <w:bottom w:val="single" w:color="auto" w:sz="4" w:space="0"/>
              <w:right w:val="single" w:color="auto" w:sz="4" w:space="0"/>
            </w:tcBorders>
            <w:shd w:val="clear" w:color="000000" w:fill="99CCFF"/>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Транспорт</w:t>
            </w:r>
          </w:p>
        </w:tc>
        <w:tc>
          <w:tcPr>
            <w:tcW w:w="960" w:type="dxa"/>
            <w:tcBorders>
              <w:top w:val="single" w:color="auto" w:sz="4" w:space="0"/>
              <w:left w:val="nil"/>
              <w:bottom w:val="single" w:color="auto" w:sz="4" w:space="0"/>
              <w:right w:val="single" w:color="auto" w:sz="4" w:space="0"/>
            </w:tcBorders>
            <w:shd w:val="clear" w:color="000000" w:fill="99CCFF"/>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2014</w:t>
            </w:r>
          </w:p>
        </w:tc>
        <w:tc>
          <w:tcPr>
            <w:tcW w:w="960" w:type="dxa"/>
            <w:tcBorders>
              <w:top w:val="single" w:color="auto" w:sz="4" w:space="0"/>
              <w:left w:val="nil"/>
              <w:bottom w:val="single" w:color="auto" w:sz="4" w:space="0"/>
              <w:right w:val="single" w:color="auto" w:sz="4" w:space="0"/>
            </w:tcBorders>
            <w:shd w:val="clear" w:color="000000" w:fill="99CCFF"/>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2015</w:t>
            </w:r>
          </w:p>
        </w:tc>
        <w:tc>
          <w:tcPr>
            <w:tcW w:w="960" w:type="dxa"/>
            <w:tcBorders>
              <w:top w:val="single" w:color="auto" w:sz="4" w:space="0"/>
              <w:left w:val="nil"/>
              <w:bottom w:val="single" w:color="auto" w:sz="4" w:space="0"/>
              <w:right w:val="single" w:color="auto" w:sz="4" w:space="0"/>
            </w:tcBorders>
            <w:shd w:val="clear" w:color="000000" w:fill="99CCFF"/>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2016</w:t>
            </w:r>
          </w:p>
        </w:tc>
        <w:tc>
          <w:tcPr>
            <w:tcW w:w="960" w:type="dxa"/>
            <w:tcBorders>
              <w:top w:val="single" w:color="auto" w:sz="4" w:space="0"/>
              <w:left w:val="nil"/>
              <w:bottom w:val="single" w:color="auto" w:sz="4" w:space="0"/>
              <w:right w:val="single" w:color="auto" w:sz="4" w:space="0"/>
            </w:tcBorders>
            <w:shd w:val="clear" w:color="000000" w:fill="99CCFF"/>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2017</w:t>
            </w:r>
          </w:p>
        </w:tc>
        <w:tc>
          <w:tcPr>
            <w:tcW w:w="960" w:type="dxa"/>
            <w:tcBorders>
              <w:top w:val="single" w:color="auto" w:sz="4" w:space="0"/>
              <w:left w:val="nil"/>
              <w:bottom w:val="single" w:color="auto" w:sz="4" w:space="0"/>
              <w:right w:val="single" w:color="auto" w:sz="4" w:space="0"/>
            </w:tcBorders>
            <w:shd w:val="clear" w:color="000000" w:fill="99CCFF"/>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2018</w:t>
            </w:r>
          </w:p>
        </w:tc>
        <w:tc>
          <w:tcPr>
            <w:tcW w:w="204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Темп роста 2018 к 2014 гг., %</w:t>
            </w:r>
          </w:p>
        </w:tc>
      </w:tr>
      <w:tr>
        <w:tblPrEx>
          <w:tblCellMar>
            <w:top w:w="0" w:type="dxa"/>
            <w:left w:w="108" w:type="dxa"/>
            <w:bottom w:w="0" w:type="dxa"/>
            <w:right w:w="108" w:type="dxa"/>
          </w:tblCellMar>
        </w:tblPrEx>
        <w:trPr>
          <w:trHeight w:val="330" w:hRule="atLeast"/>
        </w:trPr>
        <w:tc>
          <w:tcPr>
            <w:tcW w:w="27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Железнодорожный</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1 375</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1 329</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1 325</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1 384</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1 411</w:t>
            </w:r>
          </w:p>
        </w:tc>
        <w:tc>
          <w:tcPr>
            <w:tcW w:w="204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102,62</w:t>
            </w:r>
          </w:p>
        </w:tc>
      </w:tr>
      <w:tr>
        <w:tblPrEx>
          <w:tblCellMar>
            <w:top w:w="0" w:type="dxa"/>
            <w:left w:w="108" w:type="dxa"/>
            <w:bottom w:w="0" w:type="dxa"/>
            <w:right w:w="108" w:type="dxa"/>
          </w:tblCellMar>
        </w:tblPrEx>
        <w:trPr>
          <w:trHeight w:val="345" w:hRule="atLeast"/>
        </w:trPr>
        <w:tc>
          <w:tcPr>
            <w:tcW w:w="27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Автомобильный</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5 417</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5 357</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5 397</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5 404</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5 544</w:t>
            </w:r>
          </w:p>
        </w:tc>
        <w:tc>
          <w:tcPr>
            <w:tcW w:w="204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102,34</w:t>
            </w:r>
          </w:p>
        </w:tc>
      </w:tr>
      <w:tr>
        <w:tblPrEx>
          <w:tblCellMar>
            <w:top w:w="0" w:type="dxa"/>
            <w:left w:w="108" w:type="dxa"/>
            <w:bottom w:w="0" w:type="dxa"/>
            <w:right w:w="108" w:type="dxa"/>
          </w:tblCellMar>
        </w:tblPrEx>
        <w:trPr>
          <w:trHeight w:val="390" w:hRule="atLeast"/>
        </w:trPr>
        <w:tc>
          <w:tcPr>
            <w:tcW w:w="27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Трубопроводный</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1 078</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1 071</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1 088</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1 138</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1 169</w:t>
            </w:r>
          </w:p>
        </w:tc>
        <w:tc>
          <w:tcPr>
            <w:tcW w:w="204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108,44</w:t>
            </w:r>
          </w:p>
        </w:tc>
      </w:tr>
      <w:tr>
        <w:tblPrEx>
          <w:tblCellMar>
            <w:top w:w="0" w:type="dxa"/>
            <w:left w:w="108" w:type="dxa"/>
            <w:bottom w:w="0" w:type="dxa"/>
            <w:right w:w="108" w:type="dxa"/>
          </w:tblCellMar>
        </w:tblPrEx>
        <w:trPr>
          <w:trHeight w:val="375" w:hRule="atLeast"/>
        </w:trPr>
        <w:tc>
          <w:tcPr>
            <w:tcW w:w="27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Морской</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16</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19</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25</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26</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23</w:t>
            </w:r>
          </w:p>
        </w:tc>
        <w:tc>
          <w:tcPr>
            <w:tcW w:w="204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143,75</w:t>
            </w:r>
          </w:p>
        </w:tc>
      </w:tr>
      <w:tr>
        <w:tblPrEx>
          <w:tblCellMar>
            <w:top w:w="0" w:type="dxa"/>
            <w:left w:w="108" w:type="dxa"/>
            <w:bottom w:w="0" w:type="dxa"/>
            <w:right w:w="108" w:type="dxa"/>
          </w:tblCellMar>
        </w:tblPrEx>
        <w:trPr>
          <w:trHeight w:val="375" w:hRule="atLeast"/>
        </w:trPr>
        <w:tc>
          <w:tcPr>
            <w:tcW w:w="27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Внутренний водный</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119</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121</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118</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119</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116</w:t>
            </w:r>
          </w:p>
        </w:tc>
        <w:tc>
          <w:tcPr>
            <w:tcW w:w="204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97,48</w:t>
            </w:r>
          </w:p>
        </w:tc>
      </w:tr>
      <w:tr>
        <w:tblPrEx>
          <w:tblCellMar>
            <w:top w:w="0" w:type="dxa"/>
            <w:left w:w="108" w:type="dxa"/>
            <w:bottom w:w="0" w:type="dxa"/>
            <w:right w:w="108" w:type="dxa"/>
          </w:tblCellMar>
        </w:tblPrEx>
        <w:trPr>
          <w:trHeight w:val="375" w:hRule="atLeast"/>
        </w:trPr>
        <w:tc>
          <w:tcPr>
            <w:tcW w:w="27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Воздушный</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1,3</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1,0</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1,1</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1,3</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1,3</w:t>
            </w:r>
          </w:p>
        </w:tc>
        <w:tc>
          <w:tcPr>
            <w:tcW w:w="204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100,00</w:t>
            </w:r>
          </w:p>
        </w:tc>
      </w:tr>
      <w:tr>
        <w:tblPrEx>
          <w:tblCellMar>
            <w:top w:w="0" w:type="dxa"/>
            <w:left w:w="108" w:type="dxa"/>
            <w:bottom w:w="0" w:type="dxa"/>
            <w:right w:w="108" w:type="dxa"/>
          </w:tblCellMar>
        </w:tblPrEx>
        <w:trPr>
          <w:trHeight w:val="375" w:hRule="atLeast"/>
        </w:trPr>
        <w:tc>
          <w:tcPr>
            <w:tcW w:w="279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Всего </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8006,3</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7898</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7954,1</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8 072,3</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8 264,3</w:t>
            </w:r>
          </w:p>
        </w:tc>
        <w:tc>
          <w:tcPr>
            <w:tcW w:w="204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103,24</w:t>
            </w:r>
          </w:p>
        </w:tc>
      </w:tr>
    </w:tbl>
    <w:p>
      <w:pPr>
        <w:pStyle w:val="36"/>
        <w:ind w:firstLine="0"/>
        <w:rPr>
          <w:rFonts w:cs="Times New Roman"/>
          <w:color w:val="FF0000"/>
        </w:rPr>
      </w:pPr>
    </w:p>
    <w:p>
      <w:pPr>
        <w:pStyle w:val="36"/>
        <w:rPr>
          <w:rFonts w:cs="Times New Roman"/>
        </w:rPr>
      </w:pPr>
      <w:r>
        <w:rPr>
          <w:rFonts w:cs="Times New Roman"/>
        </w:rPr>
        <w:t>Из данных таблицы 1 следует, что</w:t>
      </w:r>
      <w:r>
        <w:rPr>
          <w:rFonts w:cs="Times New Roman"/>
          <w:color w:val="FF0000"/>
        </w:rPr>
        <w:t xml:space="preserve"> </w:t>
      </w:r>
      <w:r>
        <w:rPr>
          <w:rFonts w:cs="Times New Roman"/>
          <w:szCs w:val="28"/>
        </w:rPr>
        <w:t xml:space="preserve">по объемам перевозок грузов автомобильный транспорт занимает первое место или 67,1%  в 2018 г., однако по темпам роста за анализируемый период лидируют морской и трубопроводный транспорт. </w:t>
      </w:r>
    </w:p>
    <w:p>
      <w:pPr>
        <w:pStyle w:val="36"/>
        <w:rPr>
          <w:rFonts w:cs="Times New Roman"/>
        </w:rPr>
      </w:pPr>
      <w:r>
        <w:rPr>
          <w:rFonts w:cs="Times New Roman"/>
        </w:rPr>
        <w:t>Для перевозок на короткие и средние расстояния наиболее эффективным является использование грузового автомобильного транспорта, который обеспечивает следующие преимущества при перевозке грузов:</w:t>
      </w:r>
    </w:p>
    <w:p>
      <w:pPr>
        <w:pStyle w:val="36"/>
        <w:numPr>
          <w:ilvl w:val="0"/>
          <w:numId w:val="12"/>
        </w:numPr>
        <w:ind w:left="0"/>
        <w:rPr>
          <w:rFonts w:cs="Times New Roman"/>
        </w:rPr>
      </w:pPr>
      <w:r>
        <w:rPr>
          <w:rFonts w:cs="Times New Roman"/>
        </w:rPr>
        <w:t>от двери до двери,</w:t>
      </w:r>
    </w:p>
    <w:p>
      <w:pPr>
        <w:pStyle w:val="36"/>
        <w:numPr>
          <w:ilvl w:val="0"/>
          <w:numId w:val="12"/>
        </w:numPr>
        <w:ind w:left="0"/>
        <w:rPr>
          <w:rFonts w:cs="Times New Roman"/>
        </w:rPr>
      </w:pPr>
      <w:r>
        <w:rPr>
          <w:rFonts w:cs="Times New Roman"/>
        </w:rPr>
        <w:t>высокая скорость доставки, </w:t>
      </w:r>
    </w:p>
    <w:p>
      <w:pPr>
        <w:pStyle w:val="36"/>
        <w:numPr>
          <w:ilvl w:val="0"/>
          <w:numId w:val="12"/>
        </w:numPr>
        <w:ind w:left="0"/>
        <w:rPr>
          <w:rFonts w:cs="Times New Roman"/>
        </w:rPr>
      </w:pPr>
      <w:r>
        <w:rPr>
          <w:rFonts w:cs="Times New Roman"/>
        </w:rPr>
        <w:t>возможность гибкого изменения маршрута,</w:t>
      </w:r>
    </w:p>
    <w:p>
      <w:pPr>
        <w:pStyle w:val="36"/>
        <w:numPr>
          <w:ilvl w:val="0"/>
          <w:numId w:val="12"/>
        </w:numPr>
        <w:ind w:left="0"/>
        <w:rPr>
          <w:rFonts w:cs="Times New Roman"/>
        </w:rPr>
      </w:pPr>
      <w:r>
        <w:rPr>
          <w:rFonts w:cs="Times New Roman"/>
        </w:rPr>
        <w:t>непрерывность транспортировки без перегрузки товара,</w:t>
      </w:r>
    </w:p>
    <w:p>
      <w:pPr>
        <w:pStyle w:val="36"/>
        <w:numPr>
          <w:ilvl w:val="0"/>
          <w:numId w:val="12"/>
        </w:numPr>
        <w:ind w:left="0"/>
        <w:rPr>
          <w:rFonts w:cs="Times New Roman"/>
        </w:rPr>
      </w:pPr>
      <w:r>
        <w:rPr>
          <w:rFonts w:cs="Times New Roman"/>
        </w:rPr>
        <w:t xml:space="preserve">возможность доставки сборных грузов,  </w:t>
      </w:r>
    </w:p>
    <w:p>
      <w:pPr>
        <w:pStyle w:val="36"/>
        <w:numPr>
          <w:ilvl w:val="0"/>
          <w:numId w:val="12"/>
        </w:numPr>
        <w:ind w:left="0"/>
        <w:rPr>
          <w:rFonts w:cs="Times New Roman"/>
        </w:rPr>
      </w:pPr>
      <w:r>
        <w:rPr>
          <w:rFonts w:cs="Times New Roman"/>
        </w:rPr>
        <w:t xml:space="preserve">быстрая организация новой перевозки, </w:t>
      </w:r>
    </w:p>
    <w:p>
      <w:pPr>
        <w:pStyle w:val="36"/>
        <w:numPr>
          <w:ilvl w:val="0"/>
          <w:numId w:val="12"/>
        </w:numPr>
        <w:ind w:left="0"/>
        <w:rPr>
          <w:rFonts w:cs="Times New Roman"/>
        </w:rPr>
      </w:pPr>
      <w:r>
        <w:rPr>
          <w:rFonts w:cs="Times New Roman"/>
        </w:rPr>
        <w:t>разнообразие типов автотранспорта. </w:t>
      </w:r>
    </w:p>
    <w:p>
      <w:pPr>
        <w:pStyle w:val="36"/>
        <w:rPr>
          <w:rFonts w:cs="Times New Roman"/>
          <w:szCs w:val="28"/>
        </w:rPr>
      </w:pPr>
      <w:r>
        <w:rPr>
          <w:rFonts w:cs="Times New Roman"/>
          <w:szCs w:val="28"/>
        </w:rPr>
        <w:t xml:space="preserve">Заказчики перевозки предъявляют к подвижному составу автомобильного транспорта определенные эксплуатационные и технологические требования, в числе которых: </w:t>
      </w:r>
    </w:p>
    <w:p>
      <w:pPr>
        <w:pStyle w:val="36"/>
        <w:numPr>
          <w:ilvl w:val="0"/>
          <w:numId w:val="13"/>
        </w:numPr>
        <w:ind w:left="0" w:firstLine="709"/>
        <w:rPr>
          <w:rFonts w:cs="Times New Roman"/>
          <w:szCs w:val="28"/>
        </w:rPr>
      </w:pPr>
      <w:r>
        <w:rPr>
          <w:rFonts w:cs="Times New Roman"/>
          <w:szCs w:val="28"/>
        </w:rPr>
        <w:t>соответствие оптимальным условиям перевозок конкретных групп и наименований товаров;</w:t>
      </w:r>
    </w:p>
    <w:p>
      <w:pPr>
        <w:pStyle w:val="36"/>
        <w:numPr>
          <w:ilvl w:val="0"/>
          <w:numId w:val="13"/>
        </w:numPr>
        <w:ind w:left="0" w:firstLine="709"/>
        <w:rPr>
          <w:rFonts w:cs="Times New Roman"/>
          <w:szCs w:val="28"/>
        </w:rPr>
      </w:pPr>
      <w:r>
        <w:rPr>
          <w:rFonts w:cs="Times New Roman"/>
          <w:szCs w:val="28"/>
        </w:rPr>
        <w:t>высокая маневренность, широкий диапазон грузоподъемности;</w:t>
      </w:r>
    </w:p>
    <w:p>
      <w:pPr>
        <w:pStyle w:val="36"/>
        <w:numPr>
          <w:ilvl w:val="0"/>
          <w:numId w:val="13"/>
        </w:numPr>
        <w:ind w:left="0" w:firstLine="709"/>
        <w:rPr>
          <w:rFonts w:cs="Times New Roman"/>
          <w:szCs w:val="28"/>
        </w:rPr>
      </w:pPr>
      <w:r>
        <w:rPr>
          <w:rFonts w:cs="Times New Roman"/>
          <w:szCs w:val="28"/>
        </w:rPr>
        <w:t>высокая проходимость;</w:t>
      </w:r>
    </w:p>
    <w:p>
      <w:pPr>
        <w:pStyle w:val="36"/>
        <w:numPr>
          <w:ilvl w:val="0"/>
          <w:numId w:val="13"/>
        </w:numPr>
        <w:ind w:left="0" w:firstLine="709"/>
        <w:rPr>
          <w:rFonts w:cs="Times New Roman"/>
          <w:szCs w:val="28"/>
        </w:rPr>
      </w:pPr>
      <w:r>
        <w:rPr>
          <w:rFonts w:cs="Times New Roman"/>
          <w:szCs w:val="28"/>
        </w:rPr>
        <w:t>возможность увеличения габаритов кузова и приспособленность их для многоярусного укладки товаров с целью эффективного использования грузоподъемности транспортных средств.</w:t>
      </w:r>
    </w:p>
    <w:p>
      <w:pPr>
        <w:pStyle w:val="36"/>
        <w:rPr>
          <w:rFonts w:cs="Times New Roman"/>
          <w:szCs w:val="28"/>
        </w:rPr>
      </w:pPr>
      <w:r>
        <w:rPr>
          <w:rFonts w:cs="Times New Roman"/>
          <w:szCs w:val="28"/>
        </w:rPr>
        <w:t xml:space="preserve">Для перевозки грузов необходимо соблюдение порядка их планирования и организации, который основан на заключении договора о перевозке грузов автомобильным транспортом между перевозчиком и заказчиком.[1] </w:t>
      </w:r>
    </w:p>
    <w:p>
      <w:pPr>
        <w:pStyle w:val="36"/>
        <w:rPr>
          <w:rFonts w:cs="Times New Roman"/>
          <w:szCs w:val="28"/>
        </w:rPr>
      </w:pPr>
      <w:r>
        <w:rPr>
          <w:rFonts w:cs="Times New Roman"/>
          <w:szCs w:val="28"/>
        </w:rPr>
        <w:t>Классификация перевозок  автомобильным транспортом,  представлена в таблице 2.</w:t>
      </w:r>
    </w:p>
    <w:p>
      <w:pPr>
        <w:pStyle w:val="36"/>
        <w:ind w:firstLine="0"/>
        <w:jc w:val="center"/>
        <w:rPr>
          <w:rFonts w:cs="Times New Roman"/>
        </w:rPr>
      </w:pPr>
      <w:r>
        <w:rPr>
          <w:rFonts w:cs="Times New Roman"/>
        </w:rPr>
        <w:t>Таблица 2 Классификаци</w:t>
      </w:r>
      <w:r>
        <w:rPr>
          <w:rStyle w:val="39"/>
        </w:rPr>
        <w:t>я</w:t>
      </w:r>
      <w:r>
        <w:rPr>
          <w:rFonts w:cs="Times New Roman"/>
        </w:rPr>
        <w:t xml:space="preserve"> перевозок автомобильным транспортом</w:t>
      </w:r>
    </w:p>
    <w:tbl>
      <w:tblPr>
        <w:tblStyle w:val="16"/>
        <w:tblW w:w="9518" w:type="dxa"/>
        <w:jc w:val="center"/>
        <w:tblLayout w:type="autofit"/>
        <w:tblCellMar>
          <w:top w:w="0" w:type="dxa"/>
          <w:left w:w="108" w:type="dxa"/>
          <w:bottom w:w="0" w:type="dxa"/>
          <w:right w:w="108" w:type="dxa"/>
        </w:tblCellMar>
      </w:tblPr>
      <w:tblGrid>
        <w:gridCol w:w="3343"/>
        <w:gridCol w:w="6175"/>
      </w:tblGrid>
      <w:tr>
        <w:tblPrEx>
          <w:tblCellMar>
            <w:top w:w="0" w:type="dxa"/>
            <w:left w:w="108" w:type="dxa"/>
            <w:bottom w:w="0" w:type="dxa"/>
            <w:right w:w="108" w:type="dxa"/>
          </w:tblCellMar>
        </w:tblPrEx>
        <w:trPr>
          <w:trHeight w:val="423" w:hRule="atLeast"/>
          <w:jc w:val="center"/>
        </w:trPr>
        <w:tc>
          <w:tcPr>
            <w:tcW w:w="3343" w:type="dxa"/>
            <w:tcBorders>
              <w:top w:val="single" w:color="auto" w:sz="8" w:space="0"/>
              <w:left w:val="single" w:color="auto" w:sz="8" w:space="0"/>
              <w:bottom w:val="single" w:color="auto" w:sz="8"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Признаки</w:t>
            </w:r>
          </w:p>
        </w:tc>
        <w:tc>
          <w:tcPr>
            <w:tcW w:w="6175" w:type="dxa"/>
            <w:tcBorders>
              <w:top w:val="single" w:color="auto" w:sz="8" w:space="0"/>
              <w:left w:val="single" w:color="auto" w:sz="8" w:space="0"/>
              <w:bottom w:val="single" w:color="auto" w:sz="8" w:space="0"/>
            </w:tcBorders>
            <w:shd w:val="clear" w:color="auto" w:fill="auto"/>
            <w:vAlign w:val="cente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Группы</w:t>
            </w:r>
          </w:p>
        </w:tc>
      </w:tr>
      <w:tr>
        <w:tblPrEx>
          <w:tblCellMar>
            <w:top w:w="0" w:type="dxa"/>
            <w:left w:w="108" w:type="dxa"/>
            <w:bottom w:w="0" w:type="dxa"/>
            <w:right w:w="108" w:type="dxa"/>
          </w:tblCellMar>
        </w:tblPrEx>
        <w:trPr>
          <w:trHeight w:val="435" w:hRule="atLeast"/>
          <w:jc w:val="center"/>
        </w:trPr>
        <w:tc>
          <w:tcPr>
            <w:tcW w:w="3343" w:type="dxa"/>
            <w:vMerge w:val="restart"/>
            <w:tcBorders>
              <w:top w:val="nil"/>
              <w:left w:val="single" w:color="auto" w:sz="8" w:space="0"/>
              <w:bottom w:val="single" w:color="000000" w:sz="8"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1.Продолжительность перевозки</w:t>
            </w:r>
          </w:p>
        </w:tc>
        <w:tc>
          <w:tcPr>
            <w:tcW w:w="6175" w:type="dxa"/>
            <w:tcBorders>
              <w:top w:val="nil"/>
              <w:left w:val="nil"/>
              <w:bottom w:val="single" w:color="auto" w:sz="4"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постоянные,  </w:t>
            </w:r>
          </w:p>
        </w:tc>
      </w:tr>
      <w:tr>
        <w:tblPrEx>
          <w:tblCellMar>
            <w:top w:w="0" w:type="dxa"/>
            <w:left w:w="108" w:type="dxa"/>
            <w:bottom w:w="0" w:type="dxa"/>
            <w:right w:w="108" w:type="dxa"/>
          </w:tblCellMar>
        </w:tblPrEx>
        <w:trPr>
          <w:trHeight w:val="375" w:hRule="atLeast"/>
          <w:jc w:val="center"/>
        </w:trPr>
        <w:tc>
          <w:tcPr>
            <w:tcW w:w="3343" w:type="dxa"/>
            <w:vMerge w:val="continue"/>
            <w:tcBorders>
              <w:top w:val="nil"/>
              <w:left w:val="single" w:color="auto" w:sz="8" w:space="0"/>
              <w:bottom w:val="single" w:color="000000"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4"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сезонные,</w:t>
            </w:r>
          </w:p>
        </w:tc>
      </w:tr>
      <w:tr>
        <w:tblPrEx>
          <w:tblCellMar>
            <w:top w:w="0" w:type="dxa"/>
            <w:left w:w="108" w:type="dxa"/>
            <w:bottom w:w="0" w:type="dxa"/>
            <w:right w:w="108" w:type="dxa"/>
          </w:tblCellMar>
        </w:tblPrEx>
        <w:trPr>
          <w:trHeight w:val="390" w:hRule="atLeast"/>
          <w:jc w:val="center"/>
        </w:trPr>
        <w:tc>
          <w:tcPr>
            <w:tcW w:w="3343" w:type="dxa"/>
            <w:vMerge w:val="continue"/>
            <w:tcBorders>
              <w:top w:val="nil"/>
              <w:left w:val="single" w:color="auto" w:sz="8" w:space="0"/>
              <w:bottom w:val="single" w:color="000000"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временные.</w:t>
            </w:r>
          </w:p>
        </w:tc>
      </w:tr>
      <w:tr>
        <w:tblPrEx>
          <w:tblCellMar>
            <w:top w:w="0" w:type="dxa"/>
            <w:left w:w="108" w:type="dxa"/>
            <w:bottom w:w="0" w:type="dxa"/>
            <w:right w:w="108" w:type="dxa"/>
          </w:tblCellMar>
        </w:tblPrEx>
        <w:trPr>
          <w:trHeight w:val="375" w:hRule="atLeast"/>
          <w:jc w:val="center"/>
        </w:trPr>
        <w:tc>
          <w:tcPr>
            <w:tcW w:w="3343" w:type="dxa"/>
            <w:vMerge w:val="restart"/>
            <w:tcBorders>
              <w:top w:val="nil"/>
              <w:left w:val="single" w:color="auto" w:sz="8" w:space="0"/>
              <w:bottom w:val="single" w:color="000000" w:sz="8"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Виды грузов</w:t>
            </w:r>
          </w:p>
        </w:tc>
        <w:tc>
          <w:tcPr>
            <w:tcW w:w="6175" w:type="dxa"/>
            <w:tcBorders>
              <w:top w:val="nil"/>
              <w:left w:val="nil"/>
              <w:bottom w:val="single" w:color="auto" w:sz="4"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по видам продукции,</w:t>
            </w:r>
          </w:p>
        </w:tc>
      </w:tr>
      <w:tr>
        <w:tblPrEx>
          <w:tblCellMar>
            <w:top w:w="0" w:type="dxa"/>
            <w:left w:w="108" w:type="dxa"/>
            <w:bottom w:w="0" w:type="dxa"/>
            <w:right w:w="108" w:type="dxa"/>
          </w:tblCellMar>
        </w:tblPrEx>
        <w:trPr>
          <w:trHeight w:val="390" w:hRule="atLeast"/>
          <w:jc w:val="center"/>
        </w:trPr>
        <w:tc>
          <w:tcPr>
            <w:tcW w:w="3343" w:type="dxa"/>
            <w:vMerge w:val="continue"/>
            <w:tcBorders>
              <w:top w:val="nil"/>
              <w:left w:val="single" w:color="auto" w:sz="8" w:space="0"/>
              <w:bottom w:val="single" w:color="000000"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по видам тары.</w:t>
            </w:r>
          </w:p>
        </w:tc>
      </w:tr>
      <w:tr>
        <w:tblPrEx>
          <w:tblCellMar>
            <w:top w:w="0" w:type="dxa"/>
            <w:left w:w="108" w:type="dxa"/>
            <w:bottom w:w="0" w:type="dxa"/>
            <w:right w:w="108" w:type="dxa"/>
          </w:tblCellMar>
        </w:tblPrEx>
        <w:trPr>
          <w:trHeight w:val="375" w:hRule="atLeast"/>
          <w:jc w:val="center"/>
        </w:trPr>
        <w:tc>
          <w:tcPr>
            <w:tcW w:w="3343" w:type="dxa"/>
            <w:vMerge w:val="restart"/>
            <w:tcBorders>
              <w:top w:val="nil"/>
              <w:left w:val="single" w:color="auto" w:sz="8" w:space="0"/>
              <w:bottom w:val="single" w:color="000000" w:sz="8"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Размеры партии грузов</w:t>
            </w:r>
          </w:p>
        </w:tc>
        <w:tc>
          <w:tcPr>
            <w:tcW w:w="6175" w:type="dxa"/>
            <w:tcBorders>
              <w:top w:val="nil"/>
              <w:left w:val="nil"/>
              <w:bottom w:val="single" w:color="auto" w:sz="4"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массовые,</w:t>
            </w:r>
          </w:p>
        </w:tc>
      </w:tr>
      <w:tr>
        <w:tblPrEx>
          <w:tblCellMar>
            <w:top w:w="0" w:type="dxa"/>
            <w:left w:w="108" w:type="dxa"/>
            <w:bottom w:w="0" w:type="dxa"/>
            <w:right w:w="108" w:type="dxa"/>
          </w:tblCellMar>
        </w:tblPrEx>
        <w:trPr>
          <w:trHeight w:val="375" w:hRule="atLeast"/>
          <w:jc w:val="center"/>
        </w:trPr>
        <w:tc>
          <w:tcPr>
            <w:tcW w:w="3343" w:type="dxa"/>
            <w:vMerge w:val="continue"/>
            <w:tcBorders>
              <w:top w:val="nil"/>
              <w:left w:val="single" w:color="auto" w:sz="8" w:space="0"/>
              <w:bottom w:val="single" w:color="000000"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4"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партийные,</w:t>
            </w:r>
          </w:p>
        </w:tc>
      </w:tr>
      <w:tr>
        <w:tblPrEx>
          <w:tblCellMar>
            <w:top w:w="0" w:type="dxa"/>
            <w:left w:w="108" w:type="dxa"/>
            <w:bottom w:w="0" w:type="dxa"/>
            <w:right w:w="108" w:type="dxa"/>
          </w:tblCellMar>
        </w:tblPrEx>
        <w:trPr>
          <w:trHeight w:val="390" w:hRule="atLeast"/>
          <w:jc w:val="center"/>
        </w:trPr>
        <w:tc>
          <w:tcPr>
            <w:tcW w:w="3343" w:type="dxa"/>
            <w:vMerge w:val="continue"/>
            <w:tcBorders>
              <w:top w:val="nil"/>
              <w:left w:val="single" w:color="auto" w:sz="8" w:space="0"/>
              <w:bottom w:val="single" w:color="000000"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мелко-партийные.</w:t>
            </w:r>
          </w:p>
        </w:tc>
      </w:tr>
      <w:tr>
        <w:tblPrEx>
          <w:tblCellMar>
            <w:top w:w="0" w:type="dxa"/>
            <w:left w:w="108" w:type="dxa"/>
            <w:bottom w:w="0" w:type="dxa"/>
            <w:right w:w="108" w:type="dxa"/>
          </w:tblCellMar>
        </w:tblPrEx>
        <w:trPr>
          <w:trHeight w:val="390" w:hRule="atLeast"/>
          <w:jc w:val="center"/>
        </w:trPr>
        <w:tc>
          <w:tcPr>
            <w:tcW w:w="3343" w:type="dxa"/>
            <w:vMerge w:val="restart"/>
            <w:tcBorders>
              <w:top w:val="nil"/>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4.Принадлежность транспорта</w:t>
            </w: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транспорт общего пользования,</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ведомственный транспорт,</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bottom w:val="single" w:color="000000"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собственный транспорт организаций и формирований.</w:t>
            </w:r>
          </w:p>
        </w:tc>
      </w:tr>
      <w:tr>
        <w:tblPrEx>
          <w:tblCellMar>
            <w:top w:w="0" w:type="dxa"/>
            <w:left w:w="108" w:type="dxa"/>
            <w:bottom w:w="0" w:type="dxa"/>
            <w:right w:w="108" w:type="dxa"/>
          </w:tblCellMar>
        </w:tblPrEx>
        <w:trPr>
          <w:trHeight w:val="390" w:hRule="atLeast"/>
          <w:jc w:val="center"/>
        </w:trPr>
        <w:tc>
          <w:tcPr>
            <w:tcW w:w="3343" w:type="dxa"/>
            <w:vMerge w:val="restart"/>
            <w:tcBorders>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5.Расстояние перевозок</w:t>
            </w: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пригородные,</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междугородные,</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bottom w:val="single" w:color="000000"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международные.</w:t>
            </w:r>
          </w:p>
        </w:tc>
      </w:tr>
      <w:tr>
        <w:tblPrEx>
          <w:tblCellMar>
            <w:top w:w="0" w:type="dxa"/>
            <w:left w:w="108" w:type="dxa"/>
            <w:bottom w:w="0" w:type="dxa"/>
            <w:right w:w="108" w:type="dxa"/>
          </w:tblCellMar>
        </w:tblPrEx>
        <w:trPr>
          <w:trHeight w:val="390" w:hRule="atLeast"/>
          <w:jc w:val="center"/>
        </w:trPr>
        <w:tc>
          <w:tcPr>
            <w:tcW w:w="3343" w:type="dxa"/>
            <w:vMerge w:val="restart"/>
            <w:tcBorders>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6.Способы организации и выполнения перевозок</w:t>
            </w: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централизованные,</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децентрализованные,</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прямые,</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смешанные,</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комбинированные,</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контейнерные,</w:t>
            </w:r>
          </w:p>
        </w:tc>
      </w:tr>
      <w:tr>
        <w:tblPrEx>
          <w:tblCellMar>
            <w:top w:w="0" w:type="dxa"/>
            <w:left w:w="108" w:type="dxa"/>
            <w:bottom w:w="0" w:type="dxa"/>
            <w:right w:w="108" w:type="dxa"/>
          </w:tblCellMar>
        </w:tblPrEx>
        <w:trPr>
          <w:trHeight w:val="390" w:hRule="atLeast"/>
          <w:jc w:val="center"/>
        </w:trPr>
        <w:tc>
          <w:tcPr>
            <w:tcW w:w="3343" w:type="dxa"/>
            <w:vMerge w:val="continue"/>
            <w:tcBorders>
              <w:left w:val="single" w:color="auto" w:sz="8" w:space="0"/>
              <w:bottom w:val="single" w:color="000000" w:sz="8" w:space="0"/>
              <w:right w:val="single" w:color="auto" w:sz="4" w:space="0"/>
            </w:tcBorders>
            <w:vAlign w:val="center"/>
          </w:tcPr>
          <w:p>
            <w:pPr>
              <w:spacing w:after="0" w:line="240" w:lineRule="auto"/>
              <w:jc w:val="both"/>
              <w:rPr>
                <w:rFonts w:ascii="Times New Roman" w:hAnsi="Times New Roman" w:eastAsia="Times New Roman" w:cs="Times New Roman"/>
                <w:color w:val="000000"/>
                <w:sz w:val="28"/>
                <w:szCs w:val="28"/>
              </w:rPr>
            </w:pPr>
          </w:p>
        </w:tc>
        <w:tc>
          <w:tcPr>
            <w:tcW w:w="6175" w:type="dxa"/>
            <w:tcBorders>
              <w:top w:val="nil"/>
              <w:left w:val="nil"/>
              <w:bottom w:val="single" w:color="auto" w:sz="8" w:space="0"/>
              <w:right w:val="single" w:color="auto" w:sz="8" w:space="0"/>
            </w:tcBorders>
            <w:shd w:val="clear" w:color="auto" w:fill="auto"/>
            <w:vAlign w:val="cente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 пакетные.</w:t>
            </w:r>
          </w:p>
        </w:tc>
      </w:tr>
    </w:tbl>
    <w:p>
      <w:pPr>
        <w:pStyle w:val="36"/>
        <w:ind w:firstLine="0"/>
        <w:rPr>
          <w:rFonts w:cs="Times New Roman"/>
        </w:rPr>
      </w:pPr>
      <w:r>
        <w:rPr>
          <w:rFonts w:cs="Times New Roman"/>
        </w:rPr>
        <w:t>Таблица составлена авторами с использованием источника [1].</w:t>
      </w:r>
    </w:p>
    <w:p>
      <w:pPr>
        <w:pStyle w:val="36"/>
        <w:rPr>
          <w:rFonts w:cs="Times New Roman"/>
        </w:rPr>
      </w:pPr>
      <w:r>
        <w:rPr>
          <w:rFonts w:cs="Times New Roman"/>
        </w:rPr>
        <w:t>Для перевозки грузов автомобильным транспортом со стороны транспортной компании есть три схемы предоставления машин:</w:t>
      </w:r>
    </w:p>
    <w:p>
      <w:pPr>
        <w:pStyle w:val="36"/>
        <w:numPr>
          <w:ilvl w:val="0"/>
          <w:numId w:val="14"/>
        </w:numPr>
        <w:ind w:left="0" w:firstLine="709"/>
        <w:rPr>
          <w:rFonts w:cs="Times New Roman"/>
        </w:rPr>
      </w:pPr>
      <w:r>
        <w:rPr>
          <w:rFonts w:cs="Times New Roman"/>
        </w:rPr>
        <w:t>инсорсинг, когда транспортные компании, имеющие свой транспортный парк, без посредников осуществляют грузоперевозки;</w:t>
      </w:r>
    </w:p>
    <w:p>
      <w:pPr>
        <w:pStyle w:val="36"/>
        <w:numPr>
          <w:ilvl w:val="0"/>
          <w:numId w:val="14"/>
        </w:numPr>
        <w:ind w:left="0" w:firstLine="709"/>
        <w:rPr>
          <w:rFonts w:cs="Times New Roman"/>
        </w:rPr>
      </w:pPr>
      <w:r>
        <w:rPr>
          <w:rFonts w:cs="Times New Roman"/>
        </w:rPr>
        <w:t>аутсорсинг, в основе которого аренда  автотранспорта у владельцев автопарка или водителей для осуществления перевозки груза;</w:t>
      </w:r>
    </w:p>
    <w:p>
      <w:pPr>
        <w:pStyle w:val="36"/>
        <w:numPr>
          <w:ilvl w:val="0"/>
          <w:numId w:val="14"/>
        </w:numPr>
        <w:ind w:left="0" w:firstLine="709"/>
        <w:rPr>
          <w:rFonts w:cs="Times New Roman"/>
        </w:rPr>
      </w:pPr>
      <w:r>
        <w:rPr>
          <w:rFonts w:cs="Times New Roman"/>
        </w:rPr>
        <w:t>смешанный, когда используется собственный парк автомобилей и аутсорсинг.</w:t>
      </w:r>
    </w:p>
    <w:p>
      <w:pPr>
        <w:pStyle w:val="36"/>
        <w:rPr>
          <w:rFonts w:cs="Times New Roman"/>
        </w:rPr>
      </w:pPr>
      <w:r>
        <w:rPr>
          <w:rFonts w:cs="Times New Roman"/>
        </w:rPr>
        <w:t xml:space="preserve">Аутсорсинг и инсорсинг не исключают друг друга, так как оптимальная стратегия состоит не в полном отказе от одного способа обслуживания в пользу другого. Наиболее эффективно осуществляются перевозки при совмещении аутсорсинга и инсорсинга. </w:t>
      </w:r>
    </w:p>
    <w:p>
      <w:pPr>
        <w:pStyle w:val="36"/>
        <w:rPr>
          <w:rFonts w:cs="Times New Roman"/>
        </w:rPr>
      </w:pPr>
      <w:r>
        <w:rPr>
          <w:rFonts w:eastAsia="Times New Roman" w:cs="Times New Roman"/>
          <w:color w:val="000000"/>
          <w:szCs w:val="28"/>
        </w:rPr>
        <w:t xml:space="preserve">Аутсорсинг (outsourcing) в переводе с английского означает «использование внешних ресурсов». </w:t>
      </w:r>
      <w:r>
        <w:rPr>
          <w:rFonts w:cs="Times New Roman"/>
          <w:szCs w:val="28"/>
        </w:rPr>
        <w:t>Под аутсорсингом понимается передача</w:t>
      </w:r>
      <w:r>
        <w:rPr>
          <w:rFonts w:cs="Times New Roman"/>
        </w:rPr>
        <w:t xml:space="preserve"> </w:t>
      </w:r>
      <w:r>
        <w:rPr>
          <w:rFonts w:eastAsia="Times New Roman" w:cs="Times New Roman"/>
          <w:color w:val="000000"/>
          <w:szCs w:val="28"/>
        </w:rPr>
        <w:t xml:space="preserve">некоторых функций организации другой компании </w:t>
      </w:r>
      <w:r>
        <w:rPr>
          <w:rFonts w:cs="Times New Roman"/>
        </w:rPr>
        <w:t xml:space="preserve"> </w:t>
      </w:r>
      <w:r>
        <w:rPr>
          <w:rFonts w:cs="Times New Roman"/>
          <w:szCs w:val="28"/>
        </w:rPr>
        <w:t>(аутсорсеру)</w:t>
      </w:r>
      <w:r>
        <w:rPr>
          <w:rFonts w:eastAsia="Times New Roman" w:cs="Times New Roman"/>
          <w:color w:val="000000"/>
          <w:szCs w:val="28"/>
        </w:rPr>
        <w:t>,  которая специализируется в данном направлении.</w:t>
      </w:r>
    </w:p>
    <w:p>
      <w:pPr>
        <w:pStyle w:val="36"/>
        <w:rPr>
          <w:rFonts w:cs="Times New Roman"/>
        </w:rPr>
      </w:pPr>
      <w:r>
        <w:rPr>
          <w:rFonts w:cs="Times New Roman"/>
        </w:rPr>
        <w:t>Как правило, аутсорсер специализируется на осуществлении передаваемого бизнес-процесса, например передаче функций по работе с персоналом кадровому агентству или передаче функций транспортировки и складирования транспортной логистической компании и т. д. При реализации такой схемы аутсорсер выступает в роли подрядчика, а организация, передающая бизнес-процесс,  в роли заказчика.[2]</w:t>
      </w:r>
    </w:p>
    <w:p>
      <w:pPr>
        <w:pStyle w:val="36"/>
        <w:rPr>
          <w:rFonts w:cs="Times New Roman"/>
        </w:rPr>
      </w:pPr>
      <w:r>
        <w:rPr>
          <w:rFonts w:cs="Times New Roman"/>
        </w:rPr>
        <w:t>В европейских странах компании почти не содержат собственный автопарк, отдавая процесс перевозки профессиональным транспортным компаниям. Доля аутсорсинга при доставке грузов автомобильным транспортом по экспертным оценкам, достигает 70-80%, что способствует отсутствию очередей на грузовых терминалах в Европе, с помощью арендованных  грузовиков забираются грузы у отправителей и завозятся на склады.[3]</w:t>
      </w:r>
    </w:p>
    <w:p>
      <w:pPr>
        <w:pStyle w:val="36"/>
        <w:rPr>
          <w:rFonts w:cs="Times New Roman"/>
        </w:rPr>
      </w:pPr>
      <w:r>
        <w:rPr>
          <w:rFonts w:cs="Times New Roman"/>
        </w:rPr>
        <w:t>Преимущества  и недостатки использования аутсорсинга и инсорсинга для транспортно – экспедиционной компании представлены в таблице 3.</w:t>
      </w:r>
    </w:p>
    <w:p>
      <w:pPr>
        <w:pStyle w:val="36"/>
        <w:rPr>
          <w:rFonts w:cs="Times New Roman"/>
        </w:rPr>
      </w:pPr>
      <w:r>
        <w:rPr>
          <w:rFonts w:cs="Times New Roman"/>
        </w:rPr>
        <w:t xml:space="preserve">Таблица 3 Преимущества и недостатки использования аутсорсинга и </w:t>
      </w:r>
      <w:r>
        <w:rPr>
          <w:rFonts w:cs="Times New Roman"/>
          <w:bCs/>
        </w:rPr>
        <w:t>инсорсинга</w:t>
      </w:r>
      <w:r>
        <w:rPr>
          <w:rFonts w:cs="Times New Roman"/>
        </w:rPr>
        <w:t xml:space="preserve"> для транспортно – экспедиционной компании</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tcPr>
          <w:p>
            <w:pPr>
              <w:pStyle w:val="36"/>
              <w:spacing w:line="240" w:lineRule="auto"/>
              <w:ind w:firstLine="0"/>
              <w:jc w:val="center"/>
              <w:rPr>
                <w:rFonts w:cs="Times New Roman"/>
                <w:iCs/>
                <w:szCs w:val="28"/>
              </w:rPr>
            </w:pPr>
            <w:r>
              <w:rPr>
                <w:rFonts w:cs="Times New Roman"/>
                <w:iCs/>
                <w:szCs w:val="28"/>
              </w:rPr>
              <w:t>Аутсорсинг</w:t>
            </w:r>
          </w:p>
        </w:tc>
        <w:tc>
          <w:tcPr>
            <w:tcW w:w="4786" w:type="dxa"/>
          </w:tcPr>
          <w:p>
            <w:pPr>
              <w:pStyle w:val="36"/>
              <w:spacing w:line="240" w:lineRule="auto"/>
              <w:ind w:firstLine="0"/>
              <w:jc w:val="center"/>
              <w:rPr>
                <w:rFonts w:cs="Times New Roman"/>
                <w:szCs w:val="28"/>
              </w:rPr>
            </w:pPr>
            <w:r>
              <w:rPr>
                <w:rFonts w:cs="Times New Roman"/>
                <w:szCs w:val="28"/>
              </w:rPr>
              <w:t>Инсорсинг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2"/>
          </w:tcPr>
          <w:p>
            <w:pPr>
              <w:pStyle w:val="36"/>
              <w:spacing w:line="240" w:lineRule="auto"/>
              <w:ind w:firstLine="0"/>
              <w:jc w:val="center"/>
              <w:rPr>
                <w:rFonts w:cs="Times New Roman"/>
                <w:szCs w:val="28"/>
              </w:rPr>
            </w:pPr>
            <w:r>
              <w:rPr>
                <w:rFonts w:cs="Times New Roman"/>
                <w:szCs w:val="28"/>
              </w:rPr>
              <w:t>Преимущества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36"/>
              <w:spacing w:line="240" w:lineRule="auto"/>
              <w:ind w:firstLine="0"/>
              <w:rPr>
                <w:rFonts w:cs="Times New Roman"/>
                <w:iCs/>
                <w:szCs w:val="28"/>
              </w:rPr>
            </w:pPr>
            <w:r>
              <w:rPr>
                <w:rFonts w:cs="Times New Roman"/>
                <w:iCs/>
                <w:szCs w:val="28"/>
              </w:rPr>
              <w:t>1. Уменьшение капитальных издержек за счет</w:t>
            </w:r>
            <w:r>
              <w:rPr>
                <w:rFonts w:cs="Times New Roman"/>
                <w:szCs w:val="28"/>
              </w:rPr>
              <w:t xml:space="preserve"> более эффективного перераспределения ресурсов путем высвобождения денежных средств, которые могут быть направлены на другие цели.</w:t>
            </w:r>
          </w:p>
        </w:tc>
        <w:tc>
          <w:tcPr>
            <w:tcW w:w="4786" w:type="dxa"/>
          </w:tcPr>
          <w:p>
            <w:pPr>
              <w:pStyle w:val="36"/>
              <w:spacing w:line="240" w:lineRule="auto"/>
              <w:ind w:firstLine="0"/>
              <w:rPr>
                <w:rFonts w:cs="Times New Roman"/>
                <w:szCs w:val="28"/>
              </w:rPr>
            </w:pPr>
            <w:r>
              <w:rPr>
                <w:rFonts w:cs="Times New Roman"/>
                <w:szCs w:val="28"/>
              </w:rPr>
              <w:t>1. Возможность гибкого регулирования сроков и частоты отправления грузов, что способствует предоставлению клиентам максимально удобного сервиса.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36"/>
              <w:spacing w:line="240" w:lineRule="auto"/>
              <w:ind w:firstLine="0"/>
              <w:rPr>
                <w:rFonts w:cs="Times New Roman"/>
                <w:iCs/>
                <w:szCs w:val="28"/>
              </w:rPr>
            </w:pPr>
            <w:r>
              <w:rPr>
                <w:rFonts w:cs="Times New Roman"/>
                <w:iCs/>
                <w:szCs w:val="28"/>
              </w:rPr>
              <w:t xml:space="preserve">2. Снижение затрат на рабочую силу за счет  </w:t>
            </w:r>
            <w:r>
              <w:rPr>
                <w:rFonts w:cs="Times New Roman"/>
                <w:szCs w:val="28"/>
              </w:rPr>
              <w:t>уменьшения  штата сотрудников.</w:t>
            </w:r>
          </w:p>
        </w:tc>
        <w:tc>
          <w:tcPr>
            <w:tcW w:w="4786" w:type="dxa"/>
          </w:tcPr>
          <w:p>
            <w:pPr>
              <w:pStyle w:val="36"/>
              <w:spacing w:line="240" w:lineRule="auto"/>
              <w:ind w:firstLine="0"/>
              <w:rPr>
                <w:rFonts w:cs="Times New Roman"/>
                <w:szCs w:val="28"/>
              </w:rPr>
            </w:pPr>
            <w:r>
              <w:rPr>
                <w:rFonts w:cs="Times New Roman"/>
                <w:szCs w:val="28"/>
              </w:rPr>
              <w:t>2. Осуществление контроля транспорта с помощью систем навигации.</w:t>
            </w:r>
          </w:p>
          <w:p>
            <w:pPr>
              <w:pStyle w:val="36"/>
              <w:spacing w:line="240" w:lineRule="auto"/>
              <w:ind w:firstLine="0"/>
              <w:rPr>
                <w:rFonts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36"/>
              <w:spacing w:line="240" w:lineRule="auto"/>
              <w:ind w:firstLine="0"/>
              <w:rPr>
                <w:rFonts w:cs="Times New Roman"/>
                <w:szCs w:val="28"/>
              </w:rPr>
            </w:pPr>
            <w:r>
              <w:rPr>
                <w:rFonts w:cs="Times New Roman"/>
                <w:szCs w:val="28"/>
              </w:rPr>
              <w:t>3. Повышение эффективности перевозок за счет  роста общей эффективности менеджмента организации, позволяющей сосредоточить усилия персонала на решение важных задач.</w:t>
            </w:r>
          </w:p>
        </w:tc>
        <w:tc>
          <w:tcPr>
            <w:tcW w:w="4786" w:type="dxa"/>
          </w:tcPr>
          <w:p>
            <w:pPr>
              <w:pStyle w:val="36"/>
              <w:spacing w:line="240" w:lineRule="auto"/>
              <w:ind w:firstLine="0"/>
              <w:rPr>
                <w:rFonts w:cs="Times New Roman"/>
                <w:szCs w:val="28"/>
              </w:rPr>
            </w:pPr>
            <w:r>
              <w:rPr>
                <w:rFonts w:cs="Times New Roman"/>
                <w:szCs w:val="28"/>
              </w:rPr>
              <w:t>3. Снижение цен на транспортировку.</w:t>
            </w:r>
          </w:p>
          <w:p>
            <w:pPr>
              <w:pStyle w:val="36"/>
              <w:spacing w:line="240" w:lineRule="auto"/>
              <w:ind w:firstLine="0"/>
              <w:rPr>
                <w:rFonts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36"/>
              <w:spacing w:line="240" w:lineRule="auto"/>
              <w:ind w:firstLine="0"/>
              <w:rPr>
                <w:rFonts w:cs="Times New Roman"/>
                <w:iCs/>
                <w:szCs w:val="28"/>
              </w:rPr>
            </w:pPr>
            <w:r>
              <w:rPr>
                <w:rFonts w:cs="Times New Roman"/>
                <w:iCs/>
                <w:szCs w:val="28"/>
              </w:rPr>
              <w:t xml:space="preserve">4. Привлечение высококвалифицированных экспертов, обеспечивающих </w:t>
            </w:r>
            <w:r>
              <w:rPr>
                <w:rFonts w:cs="Times New Roman"/>
                <w:szCs w:val="28"/>
              </w:rPr>
              <w:t>возможность выполнения дополнительных задач наемным персоналом</w:t>
            </w:r>
          </w:p>
        </w:tc>
        <w:tc>
          <w:tcPr>
            <w:tcW w:w="4786" w:type="dxa"/>
          </w:tcPr>
          <w:p>
            <w:pPr>
              <w:pStyle w:val="36"/>
              <w:spacing w:line="240" w:lineRule="auto"/>
              <w:ind w:firstLine="0"/>
              <w:rPr>
                <w:rFonts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36"/>
              <w:spacing w:line="240" w:lineRule="auto"/>
              <w:ind w:firstLine="0"/>
              <w:rPr>
                <w:rFonts w:cs="Times New Roman"/>
                <w:iCs/>
                <w:szCs w:val="28"/>
              </w:rPr>
            </w:pPr>
            <w:r>
              <w:rPr>
                <w:rFonts w:cs="Times New Roman"/>
                <w:iCs/>
                <w:szCs w:val="28"/>
              </w:rPr>
              <w:t xml:space="preserve">5. Получение конкурентного преимущества путем </w:t>
            </w:r>
            <w:r>
              <w:rPr>
                <w:rFonts w:cs="Times New Roman"/>
                <w:szCs w:val="28"/>
              </w:rPr>
              <w:t>оптимизации расходов в компании.</w:t>
            </w:r>
          </w:p>
        </w:tc>
        <w:tc>
          <w:tcPr>
            <w:tcW w:w="4786" w:type="dxa"/>
          </w:tcPr>
          <w:p>
            <w:pPr>
              <w:pStyle w:val="36"/>
              <w:spacing w:line="240" w:lineRule="auto"/>
              <w:ind w:firstLine="0"/>
              <w:rPr>
                <w:rFonts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2"/>
          </w:tcPr>
          <w:p>
            <w:pPr>
              <w:pStyle w:val="36"/>
              <w:spacing w:line="240" w:lineRule="auto"/>
              <w:ind w:firstLine="0"/>
              <w:jc w:val="center"/>
              <w:rPr>
                <w:rFonts w:cs="Times New Roman"/>
                <w:szCs w:val="28"/>
              </w:rPr>
            </w:pPr>
            <w:r>
              <w:rPr>
                <w:rFonts w:cs="Times New Roman"/>
                <w:szCs w:val="28"/>
              </w:rPr>
              <w:t>Недостатки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36"/>
              <w:spacing w:line="240" w:lineRule="auto"/>
              <w:ind w:firstLine="0"/>
              <w:rPr>
                <w:rFonts w:cs="Times New Roman"/>
                <w:szCs w:val="28"/>
              </w:rPr>
            </w:pPr>
            <w:r>
              <w:rPr>
                <w:rFonts w:cs="Times New Roman"/>
                <w:szCs w:val="28"/>
              </w:rPr>
              <w:t>1.Снижение конфиденциальности информации</w:t>
            </w:r>
          </w:p>
          <w:p>
            <w:pPr>
              <w:pStyle w:val="36"/>
              <w:spacing w:line="240" w:lineRule="auto"/>
              <w:ind w:firstLine="0"/>
              <w:rPr>
                <w:rFonts w:cs="Times New Roman"/>
                <w:iCs/>
                <w:szCs w:val="28"/>
              </w:rPr>
            </w:pPr>
          </w:p>
        </w:tc>
        <w:tc>
          <w:tcPr>
            <w:tcW w:w="4786" w:type="dxa"/>
          </w:tcPr>
          <w:p>
            <w:pPr>
              <w:pStyle w:val="36"/>
              <w:spacing w:line="240" w:lineRule="auto"/>
              <w:ind w:firstLine="0"/>
              <w:rPr>
                <w:rFonts w:cs="Times New Roman"/>
                <w:szCs w:val="28"/>
              </w:rPr>
            </w:pPr>
            <w:r>
              <w:rPr>
                <w:rFonts w:cs="Times New Roman"/>
                <w:szCs w:val="28"/>
              </w:rPr>
              <w:t>1.Рост затрат на приобретение автопарка, ремонт, инфраструктуру, обслуживающий персонал.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36"/>
              <w:spacing w:line="240" w:lineRule="auto"/>
              <w:ind w:firstLine="0"/>
              <w:rPr>
                <w:rFonts w:cs="Times New Roman"/>
                <w:iCs/>
                <w:szCs w:val="28"/>
              </w:rPr>
            </w:pPr>
            <w:r>
              <w:rPr>
                <w:rFonts w:cs="Times New Roman"/>
                <w:szCs w:val="28"/>
              </w:rPr>
              <w:t>2.Рост риска убытков из-за недостаточного уровня качества услуг по причине неразвитости аутсорсинг перевозок в Российской Федерации.</w:t>
            </w:r>
          </w:p>
        </w:tc>
        <w:tc>
          <w:tcPr>
            <w:tcW w:w="4786" w:type="dxa"/>
          </w:tcPr>
          <w:p>
            <w:pPr>
              <w:pStyle w:val="36"/>
              <w:spacing w:line="240" w:lineRule="auto"/>
              <w:ind w:firstLine="0"/>
              <w:rPr>
                <w:rFonts w:cs="Times New Roman"/>
                <w:szCs w:val="28"/>
              </w:rPr>
            </w:pPr>
            <w:r>
              <w:rPr>
                <w:rFonts w:cs="Times New Roman"/>
                <w:szCs w:val="28"/>
              </w:rPr>
              <w:t>Холостой пробег автомобилей и простой техники в период «низкого сезона»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36"/>
              <w:spacing w:line="240" w:lineRule="auto"/>
              <w:ind w:firstLine="0"/>
              <w:rPr>
                <w:rFonts w:cs="Times New Roman"/>
                <w:iCs/>
                <w:szCs w:val="28"/>
              </w:rPr>
            </w:pPr>
            <w:r>
              <w:rPr>
                <w:rFonts w:cs="Times New Roman"/>
                <w:szCs w:val="28"/>
              </w:rPr>
              <w:t>3.Недостаточный уровень контроля над деятельностью представляющих аутсорсинг организаций или специалистов.</w:t>
            </w:r>
          </w:p>
        </w:tc>
        <w:tc>
          <w:tcPr>
            <w:tcW w:w="4786" w:type="dxa"/>
          </w:tcPr>
          <w:p>
            <w:pPr>
              <w:pStyle w:val="36"/>
              <w:spacing w:line="240" w:lineRule="auto"/>
              <w:ind w:firstLine="0"/>
              <w:rPr>
                <w:rFonts w:cs="Times New Roman"/>
                <w:szCs w:val="28"/>
              </w:rPr>
            </w:pPr>
          </w:p>
        </w:tc>
      </w:tr>
    </w:tbl>
    <w:p>
      <w:pPr>
        <w:spacing w:after="0"/>
        <w:rPr>
          <w:rFonts w:ascii="Times New Roman" w:hAnsi="Times New Roman" w:cs="Times New Roman"/>
          <w:sz w:val="28"/>
          <w:szCs w:val="28"/>
        </w:rPr>
      </w:pPr>
      <w:bookmarkStart w:id="22" w:name="_Toc515835141"/>
      <w:r>
        <w:rPr>
          <w:rFonts w:ascii="Times New Roman" w:hAnsi="Times New Roman" w:cs="Times New Roman"/>
          <w:sz w:val="28"/>
          <w:szCs w:val="28"/>
        </w:rPr>
        <w:t>Таблица составлена авторами с использованием источника [7].</w:t>
      </w:r>
    </w:p>
    <w:p>
      <w:pPr>
        <w:pStyle w:val="36"/>
        <w:rPr>
          <w:rFonts w:cs="Times New Roman"/>
        </w:rPr>
      </w:pPr>
      <w:r>
        <w:rPr>
          <w:rFonts w:cs="Times New Roman"/>
        </w:rPr>
        <w:t xml:space="preserve">Таким образом, с учетом преимуществ и недостатков аутсорсинга и </w:t>
      </w:r>
      <w:r>
        <w:rPr>
          <w:rFonts w:cs="Times New Roman"/>
          <w:bCs/>
        </w:rPr>
        <w:t>инсорсинга</w:t>
      </w:r>
      <w:r>
        <w:rPr>
          <w:rFonts w:cs="Times New Roman"/>
        </w:rPr>
        <w:t xml:space="preserve"> для повышения эффективности перевозок автомобильным транспортом транспортно – экспедиторским компаниям следует использовать смешанный способ перевозки. Для достижения этой цели целесообразна методика  расчета потребного количества транспортных средств</w:t>
      </w:r>
      <w:bookmarkEnd w:id="22"/>
      <w:r>
        <w:rPr>
          <w:rFonts w:cs="Times New Roman"/>
        </w:rPr>
        <w:t>, включающая восемь этапов.</w:t>
      </w:r>
    </w:p>
    <w:p>
      <w:pPr>
        <w:pStyle w:val="36"/>
        <w:rPr>
          <w:rFonts w:cs="Times New Roman"/>
        </w:rPr>
      </w:pPr>
      <w:r>
        <w:rPr>
          <w:rFonts w:cs="Times New Roman"/>
          <w:i/>
        </w:rPr>
        <w:t>На первом этапе</w:t>
      </w:r>
      <w:r>
        <w:rPr>
          <w:rFonts w:cs="Times New Roman"/>
        </w:rPr>
        <w:t xml:space="preserve"> определяется необходимое число транспортных средств для освоения заданного объема перевозок на маршруте </w:t>
      </w:r>
      <m:oMath>
        <m:sSub>
          <m:sSubPr>
            <m:ctrlPr>
              <w:rPr>
                <w:rFonts w:ascii="Cambria Math" w:hAnsi="Cambria Math" w:cs="Times New Roman"/>
                <w:i/>
              </w:rPr>
            </m:ctrlPr>
          </m:sSubPr>
          <m:e>
            <m:r>
              <w:rPr>
                <w:rFonts w:ascii="Cambria Math" w:hAnsi="Cambria Math" w:cs="Times New Roman"/>
              </w:rPr>
              <m:t>–</m:t>
            </m:r>
            <m:r>
              <w:rPr>
                <w:rFonts w:ascii="Cambria Math" w:hAnsi="Cambria Math" w:cs="Times New Roman"/>
                <w:lang w:val="en-US"/>
              </w:rPr>
              <m:t>A</m:t>
            </m:r>
            <m:ctrlPr>
              <w:rPr>
                <w:rFonts w:ascii="Cambria Math" w:hAnsi="Cambria Math" w:cs="Times New Roman"/>
                <w:i/>
              </w:rPr>
            </m:ctrlPr>
          </m:e>
          <m:sub>
            <m:r>
              <w:rPr>
                <w:rFonts w:ascii="Cambria Math" w:hAnsi="Cambria Math" w:cs="Times New Roman"/>
              </w:rPr>
              <m:t>m</m:t>
            </m:r>
            <m:ctrlPr>
              <w:rPr>
                <w:rFonts w:ascii="Cambria Math" w:hAnsi="Cambria Math" w:cs="Times New Roman"/>
                <w:i/>
              </w:rPr>
            </m:ctrlPr>
          </m:sub>
        </m:sSub>
      </m:oMath>
      <w:r>
        <w:rPr>
          <w:rFonts w:cs="Times New Roman"/>
        </w:rPr>
        <w:t>, по формуле 1:</w:t>
      </w:r>
    </w:p>
    <w:p>
      <w:pPr>
        <w:pStyle w:val="36"/>
        <w:ind w:firstLine="0"/>
        <w:jc w:val="center"/>
        <w:rPr>
          <w:rFonts w:cs="Times New Roman" w:eastAsiaTheme="minorEastAsia"/>
          <w:color w:val="FF0000"/>
        </w:rPr>
      </w:pPr>
      <m:oMath>
        <m:sSub>
          <m:sSubPr>
            <m:ctrlPr>
              <w:rPr>
                <w:rFonts w:ascii="Cambria Math" w:hAnsi="Cambria Math" w:cs="Times New Roman"/>
                <w:i/>
              </w:rPr>
            </m:ctrlPr>
          </m:sSubPr>
          <m:e>
            <m:r>
              <w:rPr>
                <w:rFonts w:ascii="Cambria Math" w:hAnsi="Cambria Math" w:cs="Times New Roman"/>
                <w:lang w:val="en-US"/>
              </w:rPr>
              <m:t>A</m:t>
            </m:r>
            <m:ctrlPr>
              <w:rPr>
                <w:rFonts w:ascii="Cambria Math" w:hAnsi="Cambria Math" w:cs="Times New Roman"/>
                <w:i/>
              </w:rPr>
            </m:ctrlPr>
          </m:e>
          <m:sub>
            <m:r>
              <w:rPr>
                <w:rFonts w:ascii="Cambria Math" w:hAnsi="Cambria Math" w:cs="Times New Roman"/>
              </w:rPr>
              <m:t>m</m:t>
            </m:r>
            <m:ctrlPr>
              <w:rPr>
                <w:rFonts w:ascii="Cambria Math" w:hAnsi="Cambria Math" w:cs="Times New Roman"/>
                <w:i/>
              </w:rPr>
            </m:ctrlP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m</m:t>
                </m:r>
                <m:ctrlPr>
                  <w:rPr>
                    <w:rFonts w:ascii="Cambria Math" w:hAnsi="Cambria Math" w:cs="Times New Roman"/>
                    <w:i/>
                  </w:rPr>
                </m:ctrlPr>
              </m:sub>
            </m:sSub>
            <m:ctrlPr>
              <w:rPr>
                <w:rFonts w:ascii="Cambria Math" w:hAnsi="Cambria Math" w:cs="Times New Roman"/>
                <w:i/>
              </w:rPr>
            </m:ctrlPr>
          </m:num>
          <m:den>
            <m:r>
              <w:rPr>
                <w:rFonts w:ascii="Cambria Math" w:hAnsi="Cambria Math" w:cs="Times New Roman"/>
              </w:rPr>
              <m:t>q∙</m:t>
            </m:r>
            <m:sSub>
              <m:sSubPr>
                <m:ctrlPr>
                  <w:rPr>
                    <w:rFonts w:ascii="Cambria Math" w:hAnsi="Cambria Math" w:cs="Times New Roman"/>
                    <w:i/>
                  </w:rPr>
                </m:ctrlPr>
              </m:sSubPr>
              <m:e>
                <m:r>
                  <w:rPr>
                    <w:rFonts w:ascii="Cambria Math" w:hAnsi="Cambria Math" w:cs="Times New Roman"/>
                  </w:rPr>
                  <m:t>γ</m:t>
                </m:r>
                <m:ctrlPr>
                  <w:rPr>
                    <w:rFonts w:ascii="Cambria Math" w:hAnsi="Cambria Math" w:cs="Times New Roman"/>
                    <w:i/>
                  </w:rPr>
                </m:ctrlPr>
              </m:e>
              <m:sub>
                <m:r>
                  <w:rPr>
                    <w:rFonts w:ascii="Cambria Math" w:hAnsi="Cambria Math" w:cs="Times New Roman"/>
                  </w:rPr>
                  <m:t>c</m:t>
                </m:r>
                <m:ctrlPr>
                  <w:rPr>
                    <w:rFonts w:ascii="Cambria Math" w:hAnsi="Cambria Math" w:cs="Times New Roman"/>
                    <w:i/>
                  </w:rPr>
                </m:ctrlPr>
              </m:sub>
            </m:sSub>
            <m:ctrlPr>
              <w:rPr>
                <w:rFonts w:ascii="Cambria Math" w:hAnsi="Cambria Math" w:cs="Times New Roman"/>
                <w:i/>
              </w:rPr>
            </m:ctrlP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o</m:t>
            </m:r>
            <m:ctrlPr>
              <w:rPr>
                <w:rFonts w:ascii="Cambria Math" w:hAnsi="Cambria Math" w:cs="Times New Roman"/>
                <w:i/>
              </w:rPr>
            </m:ctrlPr>
          </m:sub>
        </m:sSub>
        <m:r>
          <w:rPr>
            <w:rFonts w:ascii="Cambria Math" w:hAnsi="Cambria Math" w:cs="Times New Roman"/>
          </w:rPr>
          <m:t xml:space="preserve"> </m:t>
        </m:r>
      </m:oMath>
      <w:r>
        <w:rPr>
          <w:rFonts w:cs="Times New Roman" w:eastAsiaTheme="minorEastAsia"/>
        </w:rPr>
        <w:t xml:space="preserve">                                (1),</w:t>
      </w:r>
    </w:p>
    <w:p>
      <w:pPr>
        <w:pStyle w:val="36"/>
        <w:rPr>
          <w:rFonts w:cs="Times New Roman"/>
        </w:rPr>
      </w:pPr>
      <w:r>
        <w:rPr>
          <w:rFonts w:cs="Times New Roman"/>
        </w:rPr>
        <w:t>где</w:t>
      </w:r>
    </w:p>
    <w:p>
      <w:pPr>
        <w:pStyle w:val="36"/>
        <w:numPr>
          <w:ilvl w:val="0"/>
          <w:numId w:val="15"/>
        </w:numPr>
        <w:ind w:left="0"/>
        <w:rPr>
          <w:rFonts w:cs="Times New Roman"/>
        </w:rPr>
      </w:pPr>
      <w:r>
        <w:rPr>
          <w:rFonts w:cs="Times New Roman"/>
        </w:rPr>
        <w:t>– заданный объем перевозок;</w:t>
      </w:r>
    </w:p>
    <w:p>
      <w:pPr>
        <w:pStyle w:val="36"/>
        <w:numPr>
          <w:ilvl w:val="0"/>
          <w:numId w:val="15"/>
        </w:numPr>
        <w:ind w:left="0"/>
        <w:rPr>
          <w:rFonts w:cs="Times New Roman"/>
        </w:rPr>
      </w:pPr>
      <w:r>
        <w:rPr>
          <w:rFonts w:cs="Times New Roman"/>
          <w:lang w:eastAsia="ru-RU"/>
        </w:rPr>
        <w:drawing>
          <wp:inline distT="0" distB="0" distL="0" distR="0">
            <wp:extent cx="103505" cy="238760"/>
            <wp:effectExtent l="0" t="0" r="0" b="8890"/>
            <wp:docPr id="60" name="Рисунок 60" descr="http://www.transportine.ru/images/books/362/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http://www.transportine.ru/images/books/362/image06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3505" cy="238760"/>
                    </a:xfrm>
                    <a:prstGeom prst="rect">
                      <a:avLst/>
                    </a:prstGeom>
                    <a:noFill/>
                    <a:ln>
                      <a:noFill/>
                    </a:ln>
                  </pic:spPr>
                </pic:pic>
              </a:graphicData>
            </a:graphic>
          </wp:inline>
        </w:drawing>
      </w:r>
      <w:r>
        <w:rPr>
          <w:rFonts w:cs="Times New Roman"/>
        </w:rPr>
        <w:t> – номинальная грузоподъемность транспортного средства;</w:t>
      </w:r>
    </w:p>
    <w:p>
      <w:pPr>
        <w:pStyle w:val="36"/>
        <w:rPr>
          <w:rFonts w:cs="Times New Roman"/>
        </w:rPr>
      </w:pPr>
      <w:r>
        <w:rPr>
          <w:rFonts w:cs="Times New Roman"/>
          <w:lang w:eastAsia="ru-RU"/>
        </w:rPr>
        <w:drawing>
          <wp:inline distT="0" distB="0" distL="0" distR="0">
            <wp:extent cx="142875" cy="238760"/>
            <wp:effectExtent l="0" t="0" r="9525" b="8890"/>
            <wp:docPr id="58" name="Рисунок 58" descr="http://www.transportine.ru/images/books/362/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http://www.transportine.ru/images/books/362/image06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2875" cy="238760"/>
                    </a:xfrm>
                    <a:prstGeom prst="rect">
                      <a:avLst/>
                    </a:prstGeom>
                    <a:noFill/>
                    <a:ln>
                      <a:noFill/>
                    </a:ln>
                  </pic:spPr>
                </pic:pic>
              </a:graphicData>
            </a:graphic>
          </wp:inline>
        </w:drawing>
      </w:r>
      <w:r>
        <w:rPr>
          <w:rFonts w:cs="Times New Roman"/>
        </w:rPr>
        <w:t> – коэффициент статического использования грузоподъемности;</w:t>
      </w:r>
    </w:p>
    <w:p>
      <w:pPr>
        <w:pStyle w:val="36"/>
        <w:rPr>
          <w:rFonts w:cs="Times New Roman"/>
        </w:rPr>
      </w:pPr>
      <w:r>
        <w:rPr>
          <w:rFonts w:cs="Times New Roman"/>
          <w:lang w:eastAsia="ru-RU"/>
        </w:rPr>
        <w:drawing>
          <wp:inline distT="0" distB="0" distL="0" distR="0">
            <wp:extent cx="182880" cy="238760"/>
            <wp:effectExtent l="0" t="0" r="7620" b="8890"/>
            <wp:docPr id="56" name="Рисунок 56" descr="http://www.transportine.ru/images/books/362/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http://www.transportine.ru/images/books/362/image06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r>
        <w:rPr>
          <w:rFonts w:cs="Times New Roman"/>
        </w:rPr>
        <w:t> – время, затрачиваемое на оборот транспортного средства.</w:t>
      </w:r>
    </w:p>
    <w:p>
      <w:pPr>
        <w:pStyle w:val="36"/>
        <w:rPr>
          <w:rFonts w:cs="Times New Roman"/>
        </w:rPr>
      </w:pPr>
      <w:r>
        <w:rPr>
          <w:rFonts w:cs="Times New Roman"/>
          <w:i/>
        </w:rPr>
        <w:t>На втором этапе</w:t>
      </w:r>
      <w:r>
        <w:rPr>
          <w:rFonts w:cs="Times New Roman"/>
        </w:rPr>
        <w:t xml:space="preserve"> определяется  необходимое списочное число автомобилей -</w:t>
      </w:r>
      <m:oMath>
        <m:sSub>
          <m:sSubPr>
            <m:ctrlPr>
              <w:rPr>
                <w:rFonts w:ascii="Cambria Math" w:hAnsi="Cambria Math" w:cs="Times New Roman"/>
                <w:i/>
                <w:lang w:val="en-US"/>
              </w:rPr>
            </m:ctrlPr>
          </m:sSubPr>
          <m:e>
            <m:r>
              <w:rPr>
                <w:rFonts w:ascii="Cambria Math" w:hAnsi="Cambria Math" w:cs="Times New Roman"/>
              </w:rPr>
              <m:t>–</m:t>
            </m:r>
            <m:r>
              <w:rPr>
                <w:rFonts w:ascii="Cambria Math" w:hAnsi="Cambria Math" w:cs="Times New Roman"/>
                <w:lang w:val="en-US"/>
              </w:rPr>
              <m:t>A</m:t>
            </m:r>
            <m:ctrlPr>
              <w:rPr>
                <w:rFonts w:ascii="Cambria Math" w:hAnsi="Cambria Math" w:cs="Times New Roman"/>
                <w:i/>
                <w:lang w:val="en-US"/>
              </w:rPr>
            </m:ctrlPr>
          </m:e>
          <m:sub>
            <m:r>
              <w:rPr>
                <w:rFonts w:ascii="Cambria Math" w:hAnsi="Cambria Math" w:cs="Times New Roman"/>
                <w:lang w:val="en-US"/>
              </w:rPr>
              <m:t>cn</m:t>
            </m:r>
            <m:ctrlPr>
              <w:rPr>
                <w:rFonts w:ascii="Cambria Math" w:hAnsi="Cambria Math" w:cs="Times New Roman"/>
                <w:i/>
                <w:lang w:val="en-US"/>
              </w:rPr>
            </m:ctrlPr>
          </m:sub>
        </m:sSub>
      </m:oMath>
      <w:r>
        <w:rPr>
          <w:rFonts w:cs="Times New Roman"/>
        </w:rPr>
        <w:t xml:space="preserve">  по формуле:</w:t>
      </w:r>
    </w:p>
    <w:p>
      <w:pPr>
        <w:pStyle w:val="36"/>
        <w:ind w:firstLine="0"/>
        <w:jc w:val="center"/>
        <w:rPr>
          <w:rFonts w:cs="Times New Roman"/>
        </w:rPr>
      </w:pPr>
      <m:oMath>
        <m:sSub>
          <m:sSubPr>
            <m:ctrlPr>
              <w:rPr>
                <w:rFonts w:ascii="Cambria Math" w:hAnsi="Cambria Math" w:cs="Times New Roman"/>
                <w:i/>
                <w:lang w:val="en-US"/>
              </w:rPr>
            </m:ctrlPr>
          </m:sSubPr>
          <m:e>
            <m:r>
              <w:rPr>
                <w:rFonts w:ascii="Cambria Math" w:hAnsi="Cambria Math" w:cs="Times New Roman"/>
                <w:lang w:val="en-US"/>
              </w:rPr>
              <m:t>A</m:t>
            </m:r>
            <m:ctrlPr>
              <w:rPr>
                <w:rFonts w:ascii="Cambria Math" w:hAnsi="Cambria Math" w:cs="Times New Roman"/>
                <w:i/>
                <w:lang w:val="en-US"/>
              </w:rPr>
            </m:ctrlPr>
          </m:e>
          <m:sub>
            <m:r>
              <w:rPr>
                <w:rFonts w:ascii="Cambria Math" w:hAnsi="Cambria Math" w:cs="Times New Roman"/>
                <w:lang w:val="en-US"/>
              </w:rPr>
              <m:t>cn</m:t>
            </m:r>
            <m:ctrlPr>
              <w:rPr>
                <w:rFonts w:ascii="Cambria Math" w:hAnsi="Cambria Math" w:cs="Times New Roman"/>
                <w:i/>
                <w:lang w:val="en-US"/>
              </w:rPr>
            </m:ctrlP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A</m:t>
                </m:r>
                <m:ctrlPr>
                  <w:rPr>
                    <w:rFonts w:ascii="Cambria Math" w:hAnsi="Cambria Math" w:cs="Times New Roman"/>
                    <w:i/>
                    <w:lang w:val="en-US"/>
                  </w:rPr>
                </m:ctrlPr>
              </m:e>
              <m:sub>
                <m:r>
                  <w:rPr>
                    <w:rFonts w:ascii="Cambria Math" w:hAnsi="Cambria Math" w:cs="Times New Roman"/>
                    <w:lang w:val="en-US"/>
                  </w:rPr>
                  <m:t>m</m:t>
                </m:r>
                <m:ctrlPr>
                  <w:rPr>
                    <w:rFonts w:ascii="Cambria Math" w:hAnsi="Cambria Math" w:cs="Times New Roman"/>
                    <w:i/>
                    <w:lang w:val="en-US"/>
                  </w:rPr>
                </m:ctrlPr>
              </m:sub>
            </m:sSub>
            <m:ctrlPr>
              <w:rPr>
                <w:rFonts w:ascii="Cambria Math" w:hAnsi="Cambria Math" w:cs="Times New Roman"/>
                <w:i/>
                <w:lang w:val="en-US"/>
              </w:rPr>
            </m:ctrlPr>
          </m:num>
          <m:den>
            <m:sSub>
              <m:sSubPr>
                <m:ctrlPr>
                  <w:rPr>
                    <w:rFonts w:ascii="Cambria Math" w:hAnsi="Cambria Math" w:cs="Times New Roman"/>
                    <w:i/>
                    <w:lang w:val="en-US"/>
                  </w:rPr>
                </m:ctrlPr>
              </m:sSubPr>
              <m:e>
                <m:r>
                  <w:rPr>
                    <w:rFonts w:ascii="Cambria Math" w:hAnsi="Cambria Math" w:cs="Times New Roman"/>
                    <w:lang w:val="en-US"/>
                  </w:rPr>
                  <m:t>a</m:t>
                </m:r>
                <m:ctrlPr>
                  <w:rPr>
                    <w:rFonts w:ascii="Cambria Math" w:hAnsi="Cambria Math" w:cs="Times New Roman"/>
                    <w:i/>
                    <w:lang w:val="en-US"/>
                  </w:rPr>
                </m:ctrlPr>
              </m:e>
              <m:sub>
                <m:r>
                  <w:rPr>
                    <w:rFonts w:ascii="Cambria Math" w:hAnsi="Cambria Math" w:cs="Times New Roman"/>
                    <w:lang w:val="en-US"/>
                  </w:rPr>
                  <m:t>β</m:t>
                </m:r>
                <m:ctrlPr>
                  <w:rPr>
                    <w:rFonts w:ascii="Cambria Math" w:hAnsi="Cambria Math" w:cs="Times New Roman"/>
                    <w:i/>
                    <w:lang w:val="en-US"/>
                  </w:rPr>
                </m:ctrlPr>
              </m:sub>
            </m:sSub>
            <m:ctrlPr>
              <w:rPr>
                <w:rFonts w:ascii="Cambria Math" w:hAnsi="Cambria Math" w:cs="Times New Roman"/>
                <w:i/>
                <w:lang w:val="en-US"/>
              </w:rPr>
            </m:ctrlPr>
          </m:den>
        </m:f>
        <m:r>
          <w:rPr>
            <w:rFonts w:ascii="Cambria Math" w:hAnsi="Cambria Math" w:cs="Times New Roman"/>
          </w:rPr>
          <m:t xml:space="preserve"> </m:t>
        </m:r>
      </m:oMath>
      <w:r>
        <w:rPr>
          <w:rFonts w:cs="Times New Roman" w:eastAsiaTheme="minorEastAsia"/>
        </w:rPr>
        <w:t xml:space="preserve">                                        (2),</w:t>
      </w:r>
    </w:p>
    <w:p>
      <w:pPr>
        <w:pStyle w:val="36"/>
        <w:rPr>
          <w:rFonts w:cs="Times New Roman"/>
        </w:rPr>
      </w:pPr>
      <w:r>
        <w:rPr>
          <w:rFonts w:cs="Times New Roman"/>
        </w:rPr>
        <w:t>где</w:t>
      </w:r>
    </w:p>
    <w:p>
      <w:pPr>
        <w:pStyle w:val="36"/>
        <w:rPr>
          <w:rFonts w:cs="Times New Roman"/>
        </w:rPr>
      </w:pPr>
      <w:r>
        <w:rPr>
          <w:rFonts w:cs="Times New Roman"/>
          <w:lang w:eastAsia="ru-RU"/>
        </w:rPr>
        <w:drawing>
          <wp:inline distT="0" distB="0" distL="0" distR="0">
            <wp:extent cx="174625" cy="238760"/>
            <wp:effectExtent l="0" t="0" r="0" b="8890"/>
            <wp:docPr id="53" name="Рисунок 53" descr="http://www.transportine.ru/images/books/362/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http://www.transportine.ru/images/books/362/image07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4625" cy="238760"/>
                    </a:xfrm>
                    <a:prstGeom prst="rect">
                      <a:avLst/>
                    </a:prstGeom>
                    <a:noFill/>
                    <a:ln>
                      <a:noFill/>
                    </a:ln>
                  </pic:spPr>
                </pic:pic>
              </a:graphicData>
            </a:graphic>
          </wp:inline>
        </w:drawing>
      </w:r>
      <w:r>
        <w:rPr>
          <w:rFonts w:cs="Times New Roman"/>
        </w:rPr>
        <w:t> – коэффициент выпуска автомобилей на линию, который рассчитывается по формуле:</w:t>
      </w:r>
    </w:p>
    <w:p>
      <w:pPr>
        <w:pStyle w:val="36"/>
        <w:ind w:firstLine="0"/>
        <w:jc w:val="center"/>
        <w:rPr>
          <w:rFonts w:cs="Times New Roman"/>
        </w:rPr>
      </w:pPr>
      <m:oMath>
        <m:sSub>
          <m:sSubPr>
            <m:ctrlPr>
              <w:rPr>
                <w:rFonts w:ascii="Cambria Math" w:hAnsi="Cambria Math" w:cs="Times New Roman"/>
                <w:i/>
                <w:lang w:val="en-US"/>
              </w:rPr>
            </m:ctrlPr>
          </m:sSubPr>
          <m:e>
            <m:r>
              <w:rPr>
                <w:rFonts w:ascii="Cambria Math" w:hAnsi="Cambria Math" w:cs="Times New Roman"/>
                <w:lang w:val="en-US"/>
              </w:rPr>
              <m:t>a</m:t>
            </m:r>
            <m:ctrlPr>
              <w:rPr>
                <w:rFonts w:ascii="Cambria Math" w:hAnsi="Cambria Math" w:cs="Times New Roman"/>
                <w:i/>
                <w:lang w:val="en-US"/>
              </w:rPr>
            </m:ctrlPr>
          </m:e>
          <m:sub>
            <m:r>
              <w:rPr>
                <w:rFonts w:ascii="Cambria Math" w:hAnsi="Cambria Math" w:cs="Times New Roman"/>
                <w:lang w:val="en-US"/>
              </w:rPr>
              <m:t>β</m:t>
            </m:r>
            <m:ctrlPr>
              <w:rPr>
                <w:rFonts w:ascii="Cambria Math" w:hAnsi="Cambria Math" w:cs="Times New Roman"/>
                <w:i/>
                <w:lang w:val="en-US"/>
              </w:rPr>
            </m:ctrlPr>
          </m:sub>
        </m:sSub>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a</m:t>
            </m:r>
            <m:ctrlPr>
              <w:rPr>
                <w:rFonts w:ascii="Cambria Math" w:hAnsi="Cambria Math" w:cs="Times New Roman"/>
                <w:i/>
                <w:lang w:val="en-US"/>
              </w:rPr>
            </m:ctrlPr>
          </m:e>
          <m:sub>
            <m:r>
              <w:rPr>
                <w:rFonts w:ascii="Cambria Math" w:hAnsi="Cambria Math" w:cs="Times New Roman"/>
                <w:lang w:val="en-US"/>
              </w:rPr>
              <m:t>m</m:t>
            </m:r>
            <m:ctrlPr>
              <w:rPr>
                <w:rFonts w:ascii="Cambria Math" w:hAnsi="Cambria Math" w:cs="Times New Roman"/>
                <w:i/>
                <w:lang w:val="en-US"/>
              </w:rPr>
            </m:ctrlPr>
          </m:sub>
        </m:sSub>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K</m:t>
            </m:r>
            <m:ctrlPr>
              <w:rPr>
                <w:rFonts w:ascii="Cambria Math" w:hAnsi="Cambria Math" w:cs="Times New Roman"/>
                <w:i/>
                <w:lang w:val="en-US"/>
              </w:rPr>
            </m:ctrlPr>
          </m:e>
          <m:sub>
            <m:r>
              <w:rPr>
                <w:rFonts w:ascii="Cambria Math" w:hAnsi="Cambria Math" w:cs="Times New Roman"/>
                <w:lang w:val="en-US"/>
              </w:rPr>
              <m:t>u</m:t>
            </m:r>
            <m:ctrlPr>
              <w:rPr>
                <w:rFonts w:ascii="Cambria Math" w:hAnsi="Cambria Math" w:cs="Times New Roman"/>
                <w:i/>
                <w:lang w:val="en-US"/>
              </w:rPr>
            </m:ctrlP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D</m:t>
                </m:r>
                <m:ctrlPr>
                  <w:rPr>
                    <w:rFonts w:ascii="Cambria Math" w:hAnsi="Cambria Math" w:cs="Times New Roman"/>
                    <w:i/>
                    <w:lang w:val="en-US"/>
                  </w:rPr>
                </m:ctrlPr>
              </m:e>
              <m:sub>
                <m:r>
                  <w:rPr>
                    <w:rFonts w:ascii="Cambria Math" w:hAnsi="Cambria Math" w:cs="Times New Roman"/>
                    <w:lang w:val="en-US"/>
                  </w:rPr>
                  <m:t>P</m:t>
                </m:r>
                <m:ctrlPr>
                  <w:rPr>
                    <w:rFonts w:ascii="Cambria Math" w:hAnsi="Cambria Math" w:cs="Times New Roman"/>
                    <w:i/>
                    <w:lang w:val="en-US"/>
                  </w:rPr>
                </m:ctrlPr>
              </m:sub>
            </m:sSub>
            <m:ctrlPr>
              <w:rPr>
                <w:rFonts w:ascii="Cambria Math" w:hAnsi="Cambria Math" w:cs="Times New Roman"/>
                <w:i/>
                <w:lang w:val="en-US"/>
              </w:rPr>
            </m:ctrlPr>
          </m:num>
          <m:den>
            <m:r>
              <w:rPr>
                <w:rFonts w:ascii="Cambria Math" w:hAnsi="Cambria Math" w:cs="Times New Roman"/>
                <w:lang w:val="en-US"/>
              </w:rPr>
              <m:t>D</m:t>
            </m:r>
            <m:ctrlPr>
              <w:rPr>
                <w:rFonts w:ascii="Cambria Math" w:hAnsi="Cambria Math" w:cs="Times New Roman"/>
                <w:i/>
                <w:lang w:val="en-US"/>
              </w:rPr>
            </m:ctrlPr>
          </m:den>
        </m:f>
      </m:oMath>
      <w:r>
        <w:rPr>
          <w:rFonts w:cs="Times New Roman" w:eastAsiaTheme="minorEastAsia"/>
        </w:rPr>
        <w:t xml:space="preserve">                                      (3),</w:t>
      </w:r>
    </w:p>
    <w:p>
      <w:pPr>
        <w:pStyle w:val="36"/>
        <w:rPr>
          <w:rFonts w:cs="Times New Roman"/>
        </w:rPr>
      </w:pPr>
      <w:r>
        <w:rPr>
          <w:rFonts w:cs="Times New Roman"/>
        </w:rPr>
        <w:t>где</w:t>
      </w:r>
    </w:p>
    <w:p>
      <w:pPr>
        <w:pStyle w:val="36"/>
        <w:rPr>
          <w:rFonts w:cs="Times New Roman"/>
        </w:rPr>
      </w:pPr>
      <w:r>
        <w:rPr>
          <w:rFonts w:cs="Times New Roman"/>
          <w:lang w:eastAsia="ru-RU"/>
        </w:rPr>
        <w:drawing>
          <wp:inline distT="0" distB="0" distL="0" distR="0">
            <wp:extent cx="207010" cy="238760"/>
            <wp:effectExtent l="0" t="0" r="2540" b="8890"/>
            <wp:docPr id="51" name="Рисунок 51" descr="http://www.transportine.ru/images/books/362/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http://www.transportine.ru/images/books/362/image07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07010" cy="238760"/>
                    </a:xfrm>
                    <a:prstGeom prst="rect">
                      <a:avLst/>
                    </a:prstGeom>
                    <a:noFill/>
                    <a:ln>
                      <a:noFill/>
                    </a:ln>
                  </pic:spPr>
                </pic:pic>
              </a:graphicData>
            </a:graphic>
          </wp:inline>
        </w:drawing>
      </w:r>
      <w:r>
        <w:rPr>
          <w:rFonts w:cs="Times New Roman"/>
        </w:rPr>
        <w:t> – коэффициент технической готовности автомобилей;</w:t>
      </w:r>
    </w:p>
    <w:p>
      <w:pPr>
        <w:pStyle w:val="36"/>
        <w:rPr>
          <w:rFonts w:cs="Times New Roman"/>
        </w:rPr>
      </w:pPr>
      <w:r>
        <w:rPr>
          <w:rFonts w:cs="Times New Roman"/>
          <w:lang w:eastAsia="ru-RU"/>
        </w:rPr>
        <w:drawing>
          <wp:inline distT="0" distB="0" distL="0" distR="0">
            <wp:extent cx="182880" cy="238760"/>
            <wp:effectExtent l="0" t="0" r="7620" b="8890"/>
            <wp:docPr id="50" name="Рисунок 50" descr="http://www.transportine.ru/images/books/362/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http://www.transportine.ru/images/books/362/image07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r>
        <w:rPr>
          <w:rFonts w:cs="Times New Roman"/>
        </w:rPr>
        <w:t> – коэффициент использования технически исправных автомобилей;</w:t>
      </w:r>
    </w:p>
    <w:p>
      <w:pPr>
        <w:pStyle w:val="36"/>
        <w:rPr>
          <w:rFonts w:cs="Times New Roman"/>
        </w:rPr>
      </w:pPr>
      <m:oMath>
        <m:r>
          <w:rPr>
            <w:rFonts w:ascii="Cambria Math" w:hAnsi="Cambria Math" w:cs="Times New Roman"/>
            <w:lang w:val="en-US"/>
          </w:rPr>
          <m:t>D</m:t>
        </m:r>
      </m:oMath>
      <w:r>
        <w:rPr>
          <w:rFonts w:cs="Times New Roman"/>
        </w:rPr>
        <w:t> – календарный период;</w:t>
      </w:r>
    </w:p>
    <w:p>
      <w:pPr>
        <w:pStyle w:val="36"/>
        <w:rPr>
          <w:rFonts w:cs="Times New Roman"/>
        </w:rPr>
      </w:pPr>
      <m:oMath>
        <m:sSub>
          <m:sSubPr>
            <m:ctrlPr>
              <w:rPr>
                <w:rFonts w:ascii="Cambria Math" w:hAnsi="Cambria Math" w:cs="Times New Roman"/>
                <w:i/>
                <w:lang w:val="en-US"/>
              </w:rPr>
            </m:ctrlPr>
          </m:sSubPr>
          <m:e>
            <m:r>
              <w:rPr>
                <w:rFonts w:ascii="Cambria Math" w:hAnsi="Cambria Math" w:cs="Times New Roman"/>
                <w:lang w:val="en-US"/>
              </w:rPr>
              <m:t>D</m:t>
            </m:r>
            <m:ctrlPr>
              <w:rPr>
                <w:rFonts w:ascii="Cambria Math" w:hAnsi="Cambria Math" w:cs="Times New Roman"/>
                <w:i/>
                <w:lang w:val="en-US"/>
              </w:rPr>
            </m:ctrlPr>
          </m:e>
          <m:sub>
            <m:r>
              <w:rPr>
                <w:rFonts w:ascii="Cambria Math" w:hAnsi="Cambria Math" w:cs="Times New Roman"/>
                <w:lang w:val="en-US"/>
              </w:rPr>
              <m:t>P</m:t>
            </m:r>
            <m:ctrlPr>
              <w:rPr>
                <w:rFonts w:ascii="Cambria Math" w:hAnsi="Cambria Math" w:cs="Times New Roman"/>
                <w:i/>
                <w:lang w:val="en-US"/>
              </w:rPr>
            </m:ctrlPr>
          </m:sub>
        </m:sSub>
      </m:oMath>
      <w:r>
        <w:rPr>
          <w:rFonts w:cs="Times New Roman"/>
        </w:rPr>
        <w:t> – число рабочих дней за календарный период.</w:t>
      </w:r>
    </w:p>
    <w:p>
      <w:pPr>
        <w:pStyle w:val="36"/>
        <w:rPr>
          <w:rFonts w:cs="Times New Roman"/>
        </w:rPr>
      </w:pPr>
      <w:r>
        <w:rPr>
          <w:rFonts w:cs="Times New Roman"/>
          <w:i/>
        </w:rPr>
        <w:t>На третьем этапе</w:t>
      </w:r>
      <w:r>
        <w:rPr>
          <w:rFonts w:cs="Times New Roman"/>
        </w:rPr>
        <w:t xml:space="preserve"> определяется коэффициент технической готовности автомобилей по формуле:</w:t>
      </w:r>
    </w:p>
    <w:p>
      <w:pPr>
        <w:pStyle w:val="36"/>
        <w:ind w:firstLine="0"/>
        <w:jc w:val="center"/>
        <w:rPr>
          <w:rFonts w:cs="Times New Roman" w:eastAsiaTheme="minorEastAsia"/>
        </w:rPr>
      </w:pPr>
      <m:oMath>
        <m:sSub>
          <m:sSubPr>
            <m:ctrlPr>
              <w:rPr>
                <w:rFonts w:ascii="Cambria Math" w:hAnsi="Cambria Math" w:cs="Times New Roman"/>
                <w:i/>
              </w:rPr>
            </m:ctrlPr>
          </m:sSubPr>
          <m:e>
            <m:r>
              <w:rPr>
                <w:rFonts w:ascii="Cambria Math" w:hAnsi="Cambria Math" w:cs="Times New Roman"/>
              </w:rPr>
              <m:t>a</m:t>
            </m:r>
            <m:ctrlPr>
              <w:rPr>
                <w:rFonts w:ascii="Cambria Math" w:hAnsi="Cambria Math" w:cs="Times New Roman"/>
                <w:i/>
              </w:rPr>
            </m:ctrlPr>
          </m:e>
          <m:sub>
            <m:r>
              <w:rPr>
                <w:rFonts w:ascii="Cambria Math" w:hAnsi="Cambria Math" w:cs="Times New Roman"/>
              </w:rPr>
              <m:t>m</m:t>
            </m:r>
            <m:ctrlPr>
              <w:rPr>
                <w:rFonts w:ascii="Cambria Math" w:hAnsi="Cambria Math" w:cs="Times New Roman"/>
                <w:i/>
              </w:rPr>
            </m:ctrlP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l</m:t>
                    </m:r>
                    <m:ctrlPr>
                      <w:rPr>
                        <w:rFonts w:ascii="Cambria Math" w:hAnsi="Cambria Math" w:cs="Times New Roman"/>
                        <w:i/>
                      </w:rPr>
                    </m:ctrlPr>
                  </m:e>
                  <m:sub>
                    <m:r>
                      <w:rPr>
                        <w:rFonts w:ascii="Cambria Math" w:hAnsi="Cambria Math" w:cs="Times New Roman"/>
                      </w:rPr>
                      <m:t>cyt</m:t>
                    </m:r>
                    <m:ctrlPr>
                      <w:rPr>
                        <w:rFonts w:ascii="Cambria Math" w:hAnsi="Cambria Math" w:cs="Times New Roman"/>
                        <w:i/>
                      </w:rPr>
                    </m:ctrlP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ctrlPr>
                      <w:rPr>
                        <w:rFonts w:ascii="Cambria Math" w:hAnsi="Cambria Math" w:cs="Times New Roman"/>
                        <w:i/>
                      </w:rPr>
                    </m:ctrlPr>
                  </m:e>
                  <m:sub>
                    <m:r>
                      <w:rPr>
                        <w:rFonts w:ascii="Cambria Math" w:hAnsi="Cambria Math" w:cs="Times New Roman"/>
                      </w:rPr>
                      <m:t>mop</m:t>
                    </m:r>
                    <m:ctrlPr>
                      <w:rPr>
                        <w:rFonts w:ascii="Cambria Math" w:hAnsi="Cambria Math" w:cs="Times New Roman"/>
                        <w:i/>
                      </w:rPr>
                    </m:ctrlPr>
                  </m:sub>
                </m:sSub>
                <m:ctrlPr>
                  <w:rPr>
                    <w:rFonts w:ascii="Cambria Math" w:hAnsi="Cambria Math" w:cs="Times New Roman"/>
                    <w:i/>
                  </w:rPr>
                </m:ctrlPr>
              </m:e>
            </m:d>
            <m:ctrlPr>
              <w:rPr>
                <w:rFonts w:ascii="Cambria Math" w:hAnsi="Cambria Math" w:cs="Times New Roman"/>
                <w:i/>
              </w:rPr>
            </m:ctrlPr>
          </m:e>
          <m:sup>
            <m:r>
              <w:rPr>
                <w:rFonts w:ascii="Cambria Math" w:hAnsi="Cambria Math" w:cs="Times New Roman"/>
              </w:rPr>
              <m:t>-1</m:t>
            </m:r>
            <m:ctrlPr>
              <w:rPr>
                <w:rFonts w:ascii="Cambria Math" w:hAnsi="Cambria Math" w:cs="Times New Roman"/>
                <w:i/>
              </w:rPr>
            </m:ctrlPr>
          </m:sup>
        </m:sSup>
      </m:oMath>
      <w:r>
        <w:rPr>
          <w:rFonts w:cs="Times New Roman" w:eastAsiaTheme="minorEastAsia"/>
        </w:rPr>
        <w:t xml:space="preserve">                                        (4),</w:t>
      </w:r>
    </w:p>
    <w:p>
      <w:pPr>
        <w:pStyle w:val="36"/>
        <w:rPr>
          <w:rFonts w:cs="Times New Roman"/>
        </w:rPr>
      </w:pPr>
      <w:r>
        <w:rPr>
          <w:rFonts w:cs="Times New Roman"/>
        </w:rPr>
        <w:t>где</w:t>
      </w:r>
    </w:p>
    <w:p>
      <w:pPr>
        <w:pStyle w:val="36"/>
        <w:rPr>
          <w:rFonts w:cs="Times New Roman"/>
        </w:rPr>
      </w:pPr>
      <w:r>
        <w:rPr>
          <w:rFonts w:cs="Times New Roman"/>
        </w:rPr>
        <w:t> </w:t>
      </w:r>
      <w:r>
        <w:rPr>
          <w:rFonts w:cs="Times New Roman"/>
          <w:lang w:eastAsia="ru-RU"/>
        </w:rPr>
        <w:drawing>
          <wp:inline distT="0" distB="0" distL="0" distR="0">
            <wp:extent cx="262255" cy="262255"/>
            <wp:effectExtent l="0" t="0" r="4445" b="4445"/>
            <wp:docPr id="43" name="Рисунок 43" descr="http://www.transportine.ru/images/books/362/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http://www.transportine.ru/images/books/362/image08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2255" cy="262255"/>
                    </a:xfrm>
                    <a:prstGeom prst="rect">
                      <a:avLst/>
                    </a:prstGeom>
                    <a:noFill/>
                    <a:ln>
                      <a:noFill/>
                    </a:ln>
                  </pic:spPr>
                </pic:pic>
              </a:graphicData>
            </a:graphic>
          </wp:inline>
        </w:drawing>
      </w:r>
      <w:r>
        <w:rPr>
          <w:rFonts w:cs="Times New Roman"/>
        </w:rPr>
        <w:t> – среднесуточный пробег автомобиля, тыс. км/сутки;</w:t>
      </w:r>
    </w:p>
    <w:p>
      <w:pPr>
        <w:pStyle w:val="36"/>
        <w:rPr>
          <w:rFonts w:cs="Times New Roman"/>
        </w:rPr>
      </w:pPr>
      <w:r>
        <w:rPr>
          <w:rFonts w:cs="Times New Roman"/>
          <w:lang w:eastAsia="ru-RU"/>
        </w:rPr>
        <w:drawing>
          <wp:inline distT="0" distB="0" distL="0" distR="0">
            <wp:extent cx="371475" cy="266700"/>
            <wp:effectExtent l="0" t="0" r="9525" b="0"/>
            <wp:docPr id="4" name="Рисунок 4" descr="http://www.transportine.ru/images/books/362/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www.transportine.ru/images/books/362/image08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71475" cy="266700"/>
                    </a:xfrm>
                    <a:prstGeom prst="rect">
                      <a:avLst/>
                    </a:prstGeom>
                    <a:noFill/>
                    <a:ln>
                      <a:noFill/>
                    </a:ln>
                  </pic:spPr>
                </pic:pic>
              </a:graphicData>
            </a:graphic>
          </wp:inline>
        </w:drawing>
      </w:r>
      <w:r>
        <w:rPr>
          <w:rFonts w:cs="Times New Roman"/>
        </w:rPr>
        <w:t> – среднее число дней целодневных простоев автомобильного транспорта при технических обслуживаниях и ремонтах.</w:t>
      </w:r>
    </w:p>
    <w:p>
      <w:pPr>
        <w:pStyle w:val="36"/>
        <w:rPr>
          <w:rFonts w:cs="Times New Roman"/>
        </w:rPr>
      </w:pPr>
      <w:r>
        <w:rPr>
          <w:rFonts w:cs="Times New Roman"/>
          <w:i/>
        </w:rPr>
        <w:t>На четвертом этапе</w:t>
      </w:r>
      <w:r>
        <w:rPr>
          <w:rFonts w:cs="Times New Roman"/>
        </w:rPr>
        <w:t xml:space="preserve"> определяется среднесуточный пробег автомобиля по формуле:</w:t>
      </w:r>
    </w:p>
    <w:p>
      <w:pPr>
        <w:pStyle w:val="36"/>
        <w:ind w:firstLine="0"/>
        <w:jc w:val="center"/>
        <w:rPr>
          <w:rFonts w:cs="Times New Roman"/>
        </w:rPr>
      </w:pPr>
      <m:oMath>
        <m:sSub>
          <m:sSubPr>
            <m:ctrlPr>
              <w:rPr>
                <w:rFonts w:ascii="Cambria Math" w:hAnsi="Cambria Math" w:cs="Times New Roman"/>
                <w:i/>
                <w:lang w:val="en-US"/>
              </w:rPr>
            </m:ctrlPr>
          </m:sSubPr>
          <m:e>
            <m:r>
              <w:rPr>
                <w:rFonts w:ascii="Cambria Math" w:hAnsi="Cambria Math" w:cs="Times New Roman"/>
                <w:lang w:val="en-US"/>
              </w:rPr>
              <m:t>l</m:t>
            </m:r>
            <m:ctrlPr>
              <w:rPr>
                <w:rFonts w:ascii="Cambria Math" w:hAnsi="Cambria Math" w:cs="Times New Roman"/>
                <w:i/>
                <w:lang w:val="en-US"/>
              </w:rPr>
            </m:ctrlPr>
          </m:e>
          <m:sub>
            <m:r>
              <w:rPr>
                <w:rFonts w:ascii="Cambria Math" w:hAnsi="Cambria Math" w:cs="Times New Roman"/>
                <w:lang w:val="en-US"/>
              </w:rPr>
              <m:t>cyt</m:t>
            </m:r>
            <m:ctrlPr>
              <w:rPr>
                <w:rFonts w:ascii="Cambria Math" w:hAnsi="Cambria Math" w:cs="Times New Roman"/>
                <w:i/>
                <w:lang w:val="en-US"/>
              </w:rPr>
            </m:ctrlP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l</m:t>
                </m:r>
                <m:ctrlPr>
                  <w:rPr>
                    <w:rFonts w:ascii="Cambria Math" w:hAnsi="Cambria Math" w:cs="Times New Roman"/>
                    <w:i/>
                    <w:lang w:val="en-US"/>
                  </w:rPr>
                </m:ctrlPr>
              </m:e>
              <m:sub>
                <m:r>
                  <w:rPr>
                    <w:rFonts w:ascii="Cambria Math" w:hAnsi="Cambria Math" w:cs="Times New Roman"/>
                    <w:lang w:val="en-US"/>
                  </w:rPr>
                  <m:t>o</m:t>
                </m:r>
                <m:ctrlPr>
                  <w:rPr>
                    <w:rFonts w:ascii="Cambria Math" w:hAnsi="Cambria Math" w:cs="Times New Roman"/>
                    <w:i/>
                    <w:lang w:val="en-US"/>
                  </w:rPr>
                </m:ctrlPr>
              </m:sub>
            </m:sSub>
            <m:ctrlPr>
              <w:rPr>
                <w:rFonts w:ascii="Cambria Math" w:hAnsi="Cambria Math" w:cs="Times New Roman"/>
                <w:i/>
                <w:lang w:val="en-US"/>
              </w:rPr>
            </m:ctrlPr>
          </m:num>
          <m:den>
            <m:sSub>
              <m:sSubPr>
                <m:ctrlPr>
                  <w:rPr>
                    <w:rFonts w:ascii="Cambria Math" w:hAnsi="Cambria Math" w:cs="Times New Roman"/>
                    <w:i/>
                    <w:lang w:val="en-US"/>
                  </w:rPr>
                </m:ctrlPr>
              </m:sSubPr>
              <m:e>
                <m:r>
                  <w:rPr>
                    <w:rFonts w:ascii="Cambria Math" w:hAnsi="Cambria Math" w:cs="Times New Roman"/>
                    <w:lang w:val="en-US"/>
                  </w:rPr>
                  <m:t>t</m:t>
                </m:r>
                <m:ctrlPr>
                  <w:rPr>
                    <w:rFonts w:ascii="Cambria Math" w:hAnsi="Cambria Math" w:cs="Times New Roman"/>
                    <w:i/>
                    <w:lang w:val="en-US"/>
                  </w:rPr>
                </m:ctrlPr>
              </m:e>
              <m:sub>
                <m:r>
                  <w:rPr>
                    <w:rFonts w:ascii="Cambria Math" w:hAnsi="Cambria Math" w:cs="Times New Roman"/>
                    <w:lang w:val="en-US"/>
                  </w:rPr>
                  <m:t>o</m:t>
                </m:r>
                <m:ctrlPr>
                  <w:rPr>
                    <w:rFonts w:ascii="Cambria Math" w:hAnsi="Cambria Math" w:cs="Times New Roman"/>
                    <w:i/>
                    <w:lang w:val="en-US"/>
                  </w:rPr>
                </m:ctrlPr>
              </m:sub>
            </m:sSub>
            <m:ctrlPr>
              <w:rPr>
                <w:rFonts w:ascii="Cambria Math" w:hAnsi="Cambria Math" w:cs="Times New Roman"/>
                <w:i/>
                <w:lang w:val="en-US"/>
              </w:rPr>
            </m:ctrlPr>
          </m:den>
        </m:f>
      </m:oMath>
      <w:r>
        <w:rPr>
          <w:rFonts w:cs="Times New Roman" w:eastAsiaTheme="minorEastAsia"/>
        </w:rPr>
        <w:t xml:space="preserve">                                                         (5),</w:t>
      </w:r>
    </w:p>
    <w:p>
      <w:pPr>
        <w:pStyle w:val="36"/>
        <w:rPr>
          <w:rFonts w:cs="Times New Roman"/>
        </w:rPr>
      </w:pPr>
      <w:r>
        <w:rPr>
          <w:rFonts w:cs="Times New Roman"/>
        </w:rPr>
        <w:t>где</w:t>
      </w:r>
    </w:p>
    <w:p>
      <w:pPr>
        <w:pStyle w:val="36"/>
        <w:rPr>
          <w:rFonts w:cs="Times New Roman"/>
        </w:rPr>
      </w:pPr>
      <w:r>
        <w:rPr>
          <w:rFonts w:cs="Times New Roman"/>
        </w:rPr>
        <w:t> </w:t>
      </w:r>
      <w:r>
        <w:rPr>
          <w:rFonts w:cs="Times New Roman"/>
          <w:lang w:eastAsia="ru-RU"/>
        </w:rPr>
        <w:drawing>
          <wp:inline distT="0" distB="0" distL="0" distR="0">
            <wp:extent cx="127000" cy="238760"/>
            <wp:effectExtent l="0" t="0" r="6350" b="8890"/>
            <wp:docPr id="38" name="Рисунок 38" descr="http://www.transportine.ru/images/books/362/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http://www.transportine.ru/images/books/362/image08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7000" cy="238760"/>
                    </a:xfrm>
                    <a:prstGeom prst="rect">
                      <a:avLst/>
                    </a:prstGeom>
                    <a:noFill/>
                    <a:ln>
                      <a:noFill/>
                    </a:ln>
                  </pic:spPr>
                </pic:pic>
              </a:graphicData>
            </a:graphic>
          </wp:inline>
        </w:drawing>
      </w:r>
      <w:r>
        <w:rPr>
          <w:rFonts w:cs="Times New Roman"/>
        </w:rPr>
        <w:t> – пробег транспортного средства на маршруте за оборот, тыс. км.</w:t>
      </w:r>
    </w:p>
    <w:p>
      <w:pPr>
        <w:pStyle w:val="36"/>
        <w:rPr>
          <w:rFonts w:cs="Times New Roman"/>
        </w:rPr>
      </w:pPr>
      <w:r>
        <w:rPr>
          <w:rFonts w:cs="Times New Roman"/>
          <w:i/>
        </w:rPr>
        <w:t>Пятый этап.</w:t>
      </w:r>
      <w:r>
        <w:rPr>
          <w:rFonts w:cs="Times New Roman"/>
        </w:rPr>
        <w:t xml:space="preserve"> Определение необходимого количества водителей по формуле: </w:t>
      </w:r>
    </w:p>
    <w:p>
      <w:pPr>
        <w:pStyle w:val="36"/>
        <w:ind w:firstLine="0"/>
        <w:jc w:val="center"/>
        <w:rPr>
          <w:rFonts w:cs="Times New Roman" w:eastAsiaTheme="minorEastAsia"/>
        </w:rPr>
      </w:pPr>
      <m:oMath>
        <m:sSub>
          <m:sSubPr>
            <m:ctrlPr>
              <w:rPr>
                <w:rFonts w:ascii="Cambria Math" w:hAnsi="Cambria Math" w:cs="Times New Roman"/>
                <w:i/>
                <w:lang w:val="en-US"/>
              </w:rPr>
            </m:ctrlPr>
          </m:sSubPr>
          <m:e>
            <m:r>
              <w:rPr>
                <w:rFonts w:ascii="Cambria Math" w:hAnsi="Cambria Math" w:cs="Times New Roman"/>
                <w:lang w:val="en-US"/>
              </w:rPr>
              <m:t>N</m:t>
            </m:r>
            <m:ctrlPr>
              <w:rPr>
                <w:rFonts w:ascii="Cambria Math" w:hAnsi="Cambria Math" w:cs="Times New Roman"/>
                <w:i/>
                <w:lang w:val="en-US"/>
              </w:rPr>
            </m:ctrlPr>
          </m:e>
          <m:sub>
            <m:r>
              <w:rPr>
                <w:rFonts w:ascii="Cambria Math" w:hAnsi="Cambria Math" w:cs="Times New Roman"/>
                <w:lang w:val="en-US"/>
              </w:rPr>
              <m:t>βl</m:t>
            </m:r>
            <m:ctrlPr>
              <w:rPr>
                <w:rFonts w:ascii="Cambria Math" w:hAnsi="Cambria Math" w:cs="Times New Roman"/>
                <w:i/>
                <w:lang w:val="en-US"/>
              </w:rPr>
            </m:ctrlPr>
          </m:sub>
        </m:sSub>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A</m:t>
            </m:r>
            <m:ctrlPr>
              <w:rPr>
                <w:rFonts w:ascii="Cambria Math" w:hAnsi="Cambria Math" w:cs="Times New Roman"/>
                <w:i/>
                <w:lang w:val="en-US"/>
              </w:rPr>
            </m:ctrlPr>
          </m:e>
          <m:sub>
            <m:r>
              <w:rPr>
                <w:rFonts w:ascii="Cambria Math" w:hAnsi="Cambria Math" w:cs="Times New Roman"/>
                <w:lang w:val="en-US"/>
              </w:rPr>
              <m:t>M</m:t>
            </m:r>
            <m:ctrlPr>
              <w:rPr>
                <w:rFonts w:ascii="Cambria Math" w:hAnsi="Cambria Math" w:cs="Times New Roman"/>
                <w:i/>
                <w:lang w:val="en-US"/>
              </w:rPr>
            </m:ctrlPr>
          </m:sub>
        </m:sSub>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n</m:t>
            </m:r>
            <m:ctrlPr>
              <w:rPr>
                <w:rFonts w:ascii="Cambria Math" w:hAnsi="Cambria Math" w:cs="Times New Roman"/>
                <w:i/>
                <w:lang w:val="en-US"/>
              </w:rPr>
            </m:ctrlPr>
          </m:e>
          <m:sub>
            <m:r>
              <w:rPr>
                <w:rFonts w:ascii="Cambria Math" w:hAnsi="Cambria Math" w:cs="Times New Roman"/>
                <w:lang w:val="en-US"/>
              </w:rPr>
              <m:t>β</m:t>
            </m:r>
            <m:ctrlPr>
              <w:rPr>
                <w:rFonts w:ascii="Cambria Math" w:hAnsi="Cambria Math" w:cs="Times New Roman"/>
                <w:i/>
                <w:lang w:val="en-US"/>
              </w:rPr>
            </m:ctrlPr>
          </m:sub>
        </m:sSub>
      </m:oMath>
      <w:r>
        <w:rPr>
          <w:rFonts w:cs="Times New Roman" w:eastAsiaTheme="minorEastAsia"/>
        </w:rPr>
        <w:t xml:space="preserve">                                                      (6),</w:t>
      </w:r>
    </w:p>
    <w:p>
      <w:pPr>
        <w:pStyle w:val="36"/>
        <w:rPr>
          <w:rFonts w:cs="Times New Roman"/>
        </w:rPr>
      </w:pPr>
      <w:r>
        <w:rPr>
          <w:rFonts w:cs="Times New Roman"/>
        </w:rPr>
        <w:t>где</w:t>
      </w:r>
    </w:p>
    <w:p>
      <w:pPr>
        <w:pStyle w:val="36"/>
        <w:rPr>
          <w:rFonts w:cs="Times New Roman"/>
        </w:rPr>
      </w:pPr>
      <w:r>
        <w:rPr>
          <w:rFonts w:cs="Times New Roman"/>
        </w:rPr>
        <w:t> </w:t>
      </w:r>
      <w:r>
        <w:rPr>
          <w:rFonts w:cs="Times New Roman"/>
          <w:lang w:eastAsia="ru-RU"/>
        </w:rPr>
        <w:drawing>
          <wp:inline distT="0" distB="0" distL="0" distR="0">
            <wp:extent cx="158750" cy="238760"/>
            <wp:effectExtent l="0" t="0" r="0" b="8890"/>
            <wp:docPr id="36" name="Рисунок 36" descr="http://www.transportine.ru/images/books/362/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http://www.transportine.ru/images/books/362/image08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58750" cy="238760"/>
                    </a:xfrm>
                    <a:prstGeom prst="rect">
                      <a:avLst/>
                    </a:prstGeom>
                    <a:noFill/>
                    <a:ln>
                      <a:noFill/>
                    </a:ln>
                  </pic:spPr>
                </pic:pic>
              </a:graphicData>
            </a:graphic>
          </wp:inline>
        </w:drawing>
      </w:r>
      <w:r>
        <w:rPr>
          <w:rFonts w:cs="Times New Roman"/>
        </w:rPr>
        <w:t> – число водителей, работающих на одном транспортном средстве.</w:t>
      </w:r>
    </w:p>
    <w:p>
      <w:pPr>
        <w:pStyle w:val="36"/>
        <w:rPr>
          <w:rFonts w:cs="Times New Roman"/>
        </w:rPr>
      </w:pPr>
      <w:r>
        <w:rPr>
          <w:rFonts w:cs="Times New Roman"/>
          <w:i/>
        </w:rPr>
        <w:t>Шестой этап.</w:t>
      </w:r>
      <w:r>
        <w:rPr>
          <w:rFonts w:cs="Times New Roman"/>
        </w:rPr>
        <w:t xml:space="preserve"> Определение списочного числа водителей, по формуле:</w:t>
      </w:r>
    </w:p>
    <w:p>
      <w:pPr>
        <w:pStyle w:val="36"/>
        <w:ind w:firstLine="0"/>
        <w:jc w:val="center"/>
        <w:rPr>
          <w:rFonts w:cs="Times New Roman"/>
        </w:rPr>
      </w:pPr>
      <m:oMath>
        <m:sSub>
          <m:sSubPr>
            <m:ctrlPr>
              <w:rPr>
                <w:rFonts w:ascii="Cambria Math" w:hAnsi="Cambria Math" w:cs="Times New Roman"/>
                <w:i/>
              </w:rPr>
            </m:ctrlPr>
          </m:sSubPr>
          <m:e>
            <m:r>
              <w:rPr>
                <w:rFonts w:ascii="Cambria Math" w:hAnsi="Cambria Math" w:cs="Times New Roman"/>
              </w:rPr>
              <m:t>N</m:t>
            </m:r>
            <m:ctrlPr>
              <w:rPr>
                <w:rFonts w:ascii="Cambria Math" w:hAnsi="Cambria Math" w:cs="Times New Roman"/>
                <w:i/>
              </w:rPr>
            </m:ctrlPr>
          </m:e>
          <m:sub>
            <m:r>
              <w:rPr>
                <w:rFonts w:ascii="Cambria Math" w:hAnsi="Cambria Math" w:cs="Times New Roman"/>
              </w:rPr>
              <m:t>βcn</m:t>
            </m:r>
            <m:ctrlPr>
              <w:rPr>
                <w:rFonts w:ascii="Cambria Math" w:hAnsi="Cambria Math" w:cs="Times New Roman"/>
                <w:i/>
              </w:rPr>
            </m:ctrlP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ctrlPr>
              <w:rPr>
                <w:rFonts w:ascii="Cambria Math" w:hAnsi="Cambria Math" w:cs="Times New Roman"/>
                <w:i/>
              </w:rPr>
            </m:ctrlPr>
          </m:e>
          <m:sub>
            <m:r>
              <w:rPr>
                <w:rFonts w:ascii="Cambria Math" w:hAnsi="Cambria Math" w:cs="Times New Roman"/>
              </w:rPr>
              <m:t>βl</m:t>
            </m:r>
            <m:ctrlPr>
              <w:rPr>
                <w:rFonts w:ascii="Cambria Math" w:hAnsi="Cambria Math" w:cs="Times New Roman"/>
                <w:i/>
              </w:rPr>
            </m:ctrlP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βph</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o</m:t>
                </m:r>
                <m:ctrlPr>
                  <w:rPr>
                    <w:rFonts w:ascii="Cambria Math" w:hAnsi="Cambria Math" w:cs="Times New Roman"/>
                    <w:i/>
                  </w:rPr>
                </m:ctrlP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HOP</m:t>
                </m:r>
                <m:ctrlPr>
                  <w:rPr>
                    <w:rFonts w:ascii="Cambria Math" w:hAnsi="Cambria Math" w:cs="Times New Roman"/>
                    <w:i/>
                  </w:rPr>
                </m:ctrlPr>
              </m:sub>
            </m:sSub>
            <m:ctrlPr>
              <w:rPr>
                <w:rFonts w:ascii="Cambria Math" w:hAnsi="Cambria Math" w:cs="Times New Roman"/>
                <w:i/>
              </w:rPr>
            </m:ctrlPr>
          </m:den>
        </m:f>
      </m:oMath>
      <w:r>
        <w:rPr>
          <w:rFonts w:cs="Times New Roman" w:eastAsiaTheme="minorEastAsia"/>
        </w:rPr>
        <w:t xml:space="preserve">                                                   (7),</w:t>
      </w:r>
    </w:p>
    <w:p>
      <w:pPr>
        <w:pStyle w:val="36"/>
        <w:rPr>
          <w:rFonts w:cs="Times New Roman"/>
        </w:rPr>
      </w:pPr>
      <w:r>
        <w:rPr>
          <w:rFonts w:cs="Times New Roman"/>
        </w:rPr>
        <w:t>где</w:t>
      </w:r>
    </w:p>
    <w:p>
      <w:pPr>
        <w:pStyle w:val="36"/>
        <w:rPr>
          <w:rFonts w:cs="Times New Roman"/>
        </w:rPr>
      </w:pPr>
      <w:r>
        <w:rPr>
          <w:rFonts w:cs="Times New Roman"/>
        </w:rPr>
        <w:t> </w:t>
      </w:r>
      <m:oMath>
        <m:sSub>
          <m:sSubPr>
            <m:ctrlPr>
              <w:rPr>
                <w:rFonts w:ascii="Cambria Math" w:hAnsi="Cambria Math" w:cs="Times New Roman"/>
                <w:i/>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βph</m:t>
            </m:r>
            <m:ctrlPr>
              <w:rPr>
                <w:rFonts w:ascii="Cambria Math" w:hAnsi="Cambria Math" w:cs="Times New Roman"/>
                <w:i/>
              </w:rPr>
            </m:ctrlPr>
          </m:sub>
        </m:sSub>
      </m:oMath>
      <w:r>
        <w:rPr>
          <w:rFonts w:cs="Times New Roman"/>
        </w:rPr>
        <w:t> – время управления и другой работы, за исключением затрат на перерывы и отдых, час. [8]</w:t>
      </w:r>
    </w:p>
    <w:p>
      <w:pPr>
        <w:pStyle w:val="36"/>
        <w:rPr>
          <w:rFonts w:cs="Times New Roman"/>
        </w:rPr>
      </w:pPr>
      <w:r>
        <w:rPr>
          <w:rFonts w:cs="Times New Roman"/>
          <w:i/>
        </w:rPr>
        <w:t>Седьмой этап</w:t>
      </w:r>
      <w:r>
        <w:rPr>
          <w:rFonts w:cs="Times New Roman"/>
        </w:rPr>
        <w:t>. При наличии собственного автопарка определяется необходимое число автомобилей с привлечением аутсорсинга</w:t>
      </w:r>
      <m:oMath>
        <m:r>
          <w:rPr>
            <w:rFonts w:ascii="Cambria Math" w:hAnsi="Cambria Math" w:cs="Times New Roman"/>
          </w:rPr>
          <m:t>-</m:t>
        </m:r>
        <m:r>
          <w:rPr>
            <w:rFonts w:ascii="Cambria Math" w:hAnsi="Cambria Math" w:cs="Times New Roman"/>
            <w:lang w:val="en-US"/>
          </w:rPr>
          <m:t>Na</m:t>
        </m:r>
      </m:oMath>
      <w:r>
        <w:rPr>
          <w:rFonts w:cs="Times New Roman"/>
        </w:rPr>
        <w:t xml:space="preserve"> по формуле:</w:t>
      </w:r>
    </w:p>
    <w:p>
      <w:pPr>
        <w:pStyle w:val="36"/>
        <w:rPr>
          <w:rFonts w:cs="Times New Roman" w:eastAsiaTheme="minorEastAsia"/>
        </w:rPr>
      </w:pPr>
      <m:oMath>
        <m:sSub>
          <m:sSubPr>
            <m:ctrlPr>
              <w:rPr>
                <w:rFonts w:ascii="Cambria Math" w:hAnsi="Cambria Math" w:cs="Times New Roman"/>
                <w:i/>
              </w:rPr>
            </m:ctrlPr>
          </m:sSubPr>
          <m:e>
            <m:r>
              <w:rPr>
                <w:rFonts w:ascii="Cambria Math" w:hAnsi="Cambria Math" w:cs="Times New Roman"/>
                <w:lang w:val="en-US"/>
              </w:rPr>
              <m:t>Na</m:t>
            </m:r>
            <m:r>
              <w:rPr>
                <w:rFonts w:ascii="Cambria Math" w:hAnsi="Cambria Math" w:cs="Times New Roman"/>
              </w:rPr>
              <m:t>=</m:t>
            </m:r>
            <m:r>
              <w:rPr>
                <w:rFonts w:ascii="Cambria Math" w:hAnsi="Cambria Math" w:cs="Times New Roman"/>
                <w:lang w:val="en-US"/>
              </w:rPr>
              <m:t>A</m:t>
            </m:r>
            <m:ctrlPr>
              <w:rPr>
                <w:rFonts w:ascii="Cambria Math" w:hAnsi="Cambria Math" w:cs="Times New Roman"/>
                <w:i/>
              </w:rPr>
            </m:ctrlPr>
          </m:e>
          <m:sub>
            <m:r>
              <w:rPr>
                <w:rFonts w:ascii="Cambria Math" w:hAnsi="Cambria Math" w:cs="Times New Roman"/>
              </w:rPr>
              <m:t>m</m:t>
            </m:r>
            <m:ctrlPr>
              <w:rPr>
                <w:rFonts w:ascii="Cambria Math" w:hAnsi="Cambria Math" w:cs="Times New Roman"/>
                <w:i/>
              </w:rPr>
            </m:ctrlPr>
          </m:sub>
        </m:sSub>
        <m:r>
          <w:rPr>
            <w:rFonts w:ascii="Cambria Math" w:hAnsi="Cambria Math" w:cs="Times New Roman"/>
          </w:rPr>
          <m:t>-Ac</m:t>
        </m:r>
      </m:oMath>
      <w:r>
        <w:rPr>
          <w:rFonts w:cs="Times New Roman" w:eastAsiaTheme="minorEastAsia"/>
        </w:rPr>
        <w:t xml:space="preserve">                                                                             (8),</w:t>
      </w:r>
    </w:p>
    <w:p>
      <w:pPr>
        <w:pStyle w:val="36"/>
        <w:rPr>
          <w:rFonts w:cs="Times New Roman" w:eastAsiaTheme="minorEastAsia"/>
        </w:rPr>
      </w:pPr>
      <w:r>
        <w:rPr>
          <w:rFonts w:cs="Times New Roman" w:eastAsiaTheme="minorEastAsia"/>
        </w:rPr>
        <w:t>где</w:t>
      </w:r>
    </w:p>
    <w:p>
      <w:pPr>
        <w:pStyle w:val="36"/>
        <w:rPr>
          <w:rFonts w:cs="Times New Roman"/>
        </w:rPr>
      </w:pPr>
      <m:oMath>
        <m:sSub>
          <m:sSubPr>
            <m:ctrlPr>
              <w:rPr>
                <w:rFonts w:ascii="Cambria Math" w:hAnsi="Cambria Math" w:cs="Times New Roman"/>
                <w:i/>
              </w:rPr>
            </m:ctrlPr>
          </m:sSubPr>
          <m:e>
            <m:r>
              <w:rPr>
                <w:rFonts w:ascii="Cambria Math" w:hAnsi="Cambria Math" w:cs="Times New Roman"/>
              </w:rPr>
              <m:t xml:space="preserve"> </m:t>
            </m:r>
            <m:r>
              <w:rPr>
                <w:rFonts w:ascii="Cambria Math" w:hAnsi="Cambria Math" w:cs="Times New Roman"/>
                <w:lang w:val="en-US"/>
              </w:rPr>
              <m:t>A</m:t>
            </m:r>
            <m:ctrlPr>
              <w:rPr>
                <w:rFonts w:ascii="Cambria Math" w:hAnsi="Cambria Math" w:cs="Times New Roman"/>
                <w:i/>
              </w:rPr>
            </m:ctrlPr>
          </m:e>
          <m:sub>
            <m:r>
              <w:rPr>
                <w:rFonts w:ascii="Cambria Math" w:hAnsi="Cambria Math" w:cs="Times New Roman"/>
              </w:rPr>
              <m:t>m</m:t>
            </m:r>
            <m:ctrlPr>
              <w:rPr>
                <w:rFonts w:ascii="Cambria Math" w:hAnsi="Cambria Math" w:cs="Times New Roman"/>
                <w:i/>
              </w:rPr>
            </m:ctrlPr>
          </m:sub>
        </m:sSub>
      </m:oMath>
      <w:r>
        <w:rPr>
          <w:rFonts w:cs="Times New Roman" w:eastAsiaTheme="minorEastAsia"/>
        </w:rPr>
        <w:t xml:space="preserve">- </w:t>
      </w:r>
      <w:r>
        <w:rPr>
          <w:rFonts w:cs="Times New Roman"/>
        </w:rPr>
        <w:t>необходимое число транспортных средств для освоения заданного объема перевозок на маршруте, шт.,</w:t>
      </w:r>
    </w:p>
    <w:p>
      <w:pPr>
        <w:pStyle w:val="36"/>
        <w:rPr>
          <w:rFonts w:cs="Times New Roman" w:eastAsiaTheme="minorEastAsia"/>
        </w:rPr>
      </w:pPr>
      <w:r>
        <w:rPr>
          <w:rFonts w:cs="Times New Roman" w:eastAsiaTheme="minorEastAsia"/>
        </w:rPr>
        <w:t xml:space="preserve">  </w:t>
      </w:r>
      <m:oMath>
        <m:r>
          <w:rPr>
            <w:rFonts w:ascii="Cambria Math" w:hAnsi="Cambria Math" w:cs="Times New Roman"/>
          </w:rPr>
          <m:t>Ac-число собственных автомобилей, шт.</m:t>
        </m:r>
      </m:oMath>
    </w:p>
    <w:p>
      <w:pPr>
        <w:pStyle w:val="36"/>
        <w:rPr>
          <w:rFonts w:cs="Times New Roman" w:eastAsiaTheme="minorEastAsia"/>
        </w:rPr>
      </w:pPr>
      <w:r>
        <w:rPr>
          <w:rFonts w:cs="Times New Roman" w:eastAsiaTheme="minorEastAsia"/>
          <w:i/>
        </w:rPr>
        <w:t>Восьмой этап.</w:t>
      </w:r>
      <w:r>
        <w:rPr>
          <w:rFonts w:cs="Times New Roman" w:eastAsiaTheme="minorEastAsia"/>
        </w:rPr>
        <w:t xml:space="preserve"> При отсутствии или недостаточности собственного автопарка  осуществляется планирование инвестиций на приобретение автомобилей.</w:t>
      </w:r>
    </w:p>
    <w:p>
      <w:pPr>
        <w:pStyle w:val="36"/>
        <w:rPr>
          <w:rFonts w:cs="Times New Roman"/>
          <w:b/>
        </w:rPr>
      </w:pPr>
      <w:r>
        <w:rPr>
          <w:rFonts w:cs="Times New Roman" w:eastAsiaTheme="minorEastAsia"/>
          <w:b/>
        </w:rPr>
        <w:t>Заключение</w:t>
      </w:r>
    </w:p>
    <w:p>
      <w:pPr>
        <w:pStyle w:val="36"/>
        <w:rPr>
          <w:rFonts w:cs="Times New Roman"/>
        </w:rPr>
      </w:pPr>
      <w:r>
        <w:rPr>
          <w:rFonts w:cs="Times New Roman"/>
        </w:rPr>
        <w:t>Многие компании как небольшие, так и крупные  решают вопросы грузоперевозок, используя смешанные схемы. Например, компания "Coca-Cola HBC Россия" имеет как собственный парк автомобилей, так и пользуется  услугами партнеров, которые оказывают 2PL (second party logistics, привлечение подрядчиков для выполнения отдельных логистических операций) и 3PL-услуги.[4]</w:t>
      </w:r>
    </w:p>
    <w:p>
      <w:pPr>
        <w:pStyle w:val="36"/>
        <w:rPr>
          <w:rFonts w:cs="Times New Roman"/>
        </w:rPr>
      </w:pPr>
      <w:r>
        <w:rPr>
          <w:rFonts w:cs="Times New Roman"/>
        </w:rPr>
        <w:t xml:space="preserve">Использование предложенной методики позволит обеспечить планирование инвестиций не только на приобретение собственного автопарка, но и на аренду автотранспорта. Собственный автопарк позволяет самостоятельно выполнять наиболее срочные и выгодные перевозки, а низкодоходные отдавать на аутсорсинг. Сочетание собственных мощностей и возможностей транспортных посредников позволяют обеспечить рост клиентоориентированности на основе учета индивидуальных особенностей заказчиков. </w:t>
      </w:r>
    </w:p>
    <w:p>
      <w:pPr>
        <w:pStyle w:val="36"/>
        <w:ind w:firstLine="0"/>
        <w:rPr>
          <w:rFonts w:cs="Times New Roman"/>
        </w:rPr>
      </w:pP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p>
      <w:pPr>
        <w:pStyle w:val="36"/>
        <w:numPr>
          <w:ilvl w:val="0"/>
          <w:numId w:val="16"/>
        </w:numPr>
        <w:ind w:left="0" w:firstLine="709"/>
        <w:rPr>
          <w:rFonts w:cs="Times New Roman"/>
        </w:rPr>
      </w:pPr>
      <w:r>
        <w:rPr>
          <w:rFonts w:cs="Times New Roman"/>
        </w:rPr>
        <w:t xml:space="preserve">Алесинская Т. В., Основы логистики. Функциональные области логистического управления / Т. В. Алесинская. </w:t>
      </w:r>
      <w:r>
        <w:rPr>
          <w:rFonts w:eastAsia="TimesNewRomanPSMT" w:cs="Times New Roman"/>
          <w:sz w:val="24"/>
          <w:szCs w:val="24"/>
        </w:rPr>
        <w:t xml:space="preserve">– </w:t>
      </w:r>
      <w:r>
        <w:rPr>
          <w:rFonts w:cs="Times New Roman"/>
        </w:rPr>
        <w:t xml:space="preserve"> Таганрог: </w:t>
      </w:r>
      <w:r>
        <w:rPr>
          <w:rFonts w:cs="Times New Roman"/>
          <w:shd w:val="clear" w:color="auto" w:fill="FFFFFF"/>
        </w:rPr>
        <w:t>ТТИ ЮФУ,</w:t>
      </w:r>
      <w:r>
        <w:rPr>
          <w:rFonts w:cs="Times New Roman"/>
        </w:rPr>
        <w:t xml:space="preserve"> 2010. - 116 с. </w:t>
      </w:r>
    </w:p>
    <w:p>
      <w:pPr>
        <w:pStyle w:val="36"/>
        <w:numPr>
          <w:ilvl w:val="0"/>
          <w:numId w:val="16"/>
        </w:numPr>
        <w:ind w:left="0" w:firstLine="709"/>
        <w:rPr>
          <w:rFonts w:cs="Times New Roman"/>
        </w:rPr>
      </w:pPr>
      <w:r>
        <w:rPr>
          <w:rFonts w:cs="Times New Roman"/>
        </w:rPr>
        <w:t xml:space="preserve">Коник Н. А., Аутсорсинг / Н. А. Коник. </w:t>
      </w:r>
      <w:r>
        <w:rPr>
          <w:rFonts w:eastAsia="TimesNewRomanPSMT" w:cs="Times New Roman"/>
          <w:sz w:val="24"/>
          <w:szCs w:val="24"/>
        </w:rPr>
        <w:t xml:space="preserve">– </w:t>
      </w:r>
      <w:r>
        <w:rPr>
          <w:rFonts w:cs="Times New Roman"/>
        </w:rPr>
        <w:t xml:space="preserve"> Москва: КНОРУС, 2008. - 175с.</w:t>
      </w:r>
    </w:p>
    <w:p>
      <w:pPr>
        <w:pStyle w:val="36"/>
        <w:numPr>
          <w:ilvl w:val="0"/>
          <w:numId w:val="16"/>
        </w:numPr>
        <w:ind w:left="0" w:firstLine="709"/>
        <w:rPr>
          <w:rFonts w:cs="Times New Roman"/>
        </w:rPr>
      </w:pPr>
      <w:r>
        <w:rPr>
          <w:rFonts w:cs="Times New Roman"/>
        </w:rPr>
        <w:t xml:space="preserve">Левкин Г. Г., Основы логистики / </w:t>
      </w:r>
      <w:r>
        <w:rPr>
          <w:rFonts w:cs="Times New Roman"/>
          <w:sz w:val="20"/>
          <w:szCs w:val="20"/>
          <w:shd w:val="clear" w:color="auto" w:fill="FFFFFF"/>
        </w:rPr>
        <w:t> </w:t>
      </w:r>
      <w:r>
        <w:rPr>
          <w:rFonts w:cs="Times New Roman"/>
        </w:rPr>
        <w:t>Г. Г. Левкин.  Москва: Инфра-Инженерия, 2014. – с.221.</w:t>
      </w:r>
    </w:p>
    <w:p>
      <w:pPr>
        <w:pStyle w:val="36"/>
        <w:numPr>
          <w:ilvl w:val="0"/>
          <w:numId w:val="16"/>
        </w:numPr>
        <w:ind w:left="0" w:firstLine="709"/>
        <w:rPr>
          <w:rStyle w:val="15"/>
          <w:rFonts w:cs="Times New Roman"/>
          <w:color w:val="auto"/>
        </w:rPr>
      </w:pPr>
      <w:r>
        <w:rPr>
          <w:rFonts w:cs="Times New Roman"/>
        </w:rPr>
        <w:t>Встать</w:t>
      </w:r>
      <w:r>
        <w:rPr>
          <w:rFonts w:cs="Times New Roman"/>
          <w:b/>
        </w:rPr>
        <w:t> </w:t>
      </w:r>
      <w:r>
        <w:rPr>
          <w:rFonts w:cs="Times New Roman"/>
        </w:rPr>
        <w:t>на чужие рельсы URL: https://www.kommersant.ru/doc/3269756</w:t>
      </w:r>
      <w:r>
        <w:rPr>
          <w:rStyle w:val="15"/>
          <w:rFonts w:cs="Times New Roman"/>
          <w:color w:val="auto"/>
        </w:rPr>
        <w:t xml:space="preserve"> (дата обращения: 21.02.2020).</w:t>
      </w:r>
    </w:p>
    <w:p>
      <w:pPr>
        <w:pStyle w:val="36"/>
        <w:numPr>
          <w:ilvl w:val="0"/>
          <w:numId w:val="16"/>
        </w:numPr>
        <w:ind w:left="0" w:firstLine="709"/>
        <w:rPr>
          <w:rStyle w:val="15"/>
          <w:rFonts w:cs="Times New Roman"/>
          <w:color w:val="auto"/>
        </w:rPr>
      </w:pPr>
      <w:r>
        <w:rPr>
          <w:rFonts w:cs="Times New Roman"/>
        </w:rPr>
        <w:t xml:space="preserve">Институциональные преобразования в экономике – </w:t>
      </w:r>
      <w:r>
        <w:rPr>
          <w:rFonts w:cs="Times New Roman"/>
          <w:lang w:val="en-US"/>
        </w:rPr>
        <w:t>URL</w:t>
      </w:r>
      <w:r>
        <w:rPr>
          <w:rFonts w:cs="Times New Roman"/>
        </w:rPr>
        <w:t xml:space="preserve">: </w:t>
      </w:r>
      <w:r>
        <w:fldChar w:fldCharType="begin"/>
      </w:r>
      <w:r>
        <w:instrText xml:space="preserve"> HYPERLINK "https://www.gks.ru/folder/14036" </w:instrText>
      </w:r>
      <w:r>
        <w:fldChar w:fldCharType="separate"/>
      </w:r>
      <w:r>
        <w:rPr>
          <w:rStyle w:val="15"/>
          <w:rFonts w:cs="Times New Roman"/>
          <w:color w:val="auto"/>
        </w:rPr>
        <w:t>https://www.gks.ru/folder/14036</w:t>
      </w:r>
      <w:r>
        <w:rPr>
          <w:rStyle w:val="15"/>
          <w:rFonts w:cs="Times New Roman"/>
          <w:color w:val="auto"/>
        </w:rPr>
        <w:fldChar w:fldCharType="end"/>
      </w:r>
      <w:r>
        <w:rPr>
          <w:rStyle w:val="15"/>
          <w:rFonts w:cs="Times New Roman"/>
          <w:color w:val="auto"/>
        </w:rPr>
        <w:t xml:space="preserve"> (дата обращения: 12.02.2020).</w:t>
      </w:r>
    </w:p>
    <w:p>
      <w:pPr>
        <w:pStyle w:val="36"/>
        <w:numPr>
          <w:ilvl w:val="0"/>
          <w:numId w:val="16"/>
        </w:numPr>
        <w:ind w:left="0" w:firstLine="709"/>
        <w:rPr>
          <w:rFonts w:cs="Times New Roman"/>
        </w:rPr>
      </w:pPr>
      <w:r>
        <w:rPr>
          <w:rFonts w:cs="Times New Roman"/>
          <w:szCs w:val="28"/>
        </w:rPr>
        <w:t xml:space="preserve">Обзор отрасли - </w:t>
      </w:r>
      <w:r>
        <w:fldChar w:fldCharType="begin"/>
      </w:r>
      <w:r>
        <w:instrText xml:space="preserve"> HYPERLINK "URL:%20https://ru.investinrussia.com/data/file/ey-freight-transportation-survey-2018.pdfhttps" </w:instrText>
      </w:r>
      <w:r>
        <w:fldChar w:fldCharType="separate"/>
      </w:r>
      <w:r>
        <w:rPr>
          <w:rStyle w:val="15"/>
          <w:rFonts w:cs="Times New Roman"/>
          <w:color w:val="auto"/>
          <w:szCs w:val="28"/>
          <w:lang w:val="en-US"/>
        </w:rPr>
        <w:t>URL</w:t>
      </w:r>
      <w:r>
        <w:rPr>
          <w:rStyle w:val="15"/>
          <w:rFonts w:cs="Times New Roman"/>
          <w:color w:val="auto"/>
          <w:szCs w:val="28"/>
        </w:rPr>
        <w:t>: https://ru.investinrussia.com/data/file/ey-freight-transportation-survey-2018.pdfhttps</w:t>
      </w:r>
      <w:r>
        <w:rPr>
          <w:rStyle w:val="15"/>
          <w:rFonts w:cs="Times New Roman"/>
          <w:color w:val="auto"/>
          <w:szCs w:val="28"/>
        </w:rPr>
        <w:fldChar w:fldCharType="end"/>
      </w:r>
      <w:r>
        <w:rPr>
          <w:rFonts w:cs="Times New Roman"/>
          <w:szCs w:val="28"/>
        </w:rPr>
        <w:t>: (дата обращения 21.02.2020).</w:t>
      </w:r>
    </w:p>
    <w:p>
      <w:pPr>
        <w:pStyle w:val="36"/>
        <w:numPr>
          <w:ilvl w:val="0"/>
          <w:numId w:val="16"/>
        </w:numPr>
        <w:ind w:left="0" w:firstLine="709"/>
        <w:rPr>
          <w:rFonts w:cs="Times New Roman"/>
        </w:rPr>
      </w:pPr>
      <w:r>
        <w:rPr>
          <w:rFonts w:cs="Times New Roman"/>
        </w:rPr>
        <w:t>Понятия: аутсорсинг и инсорсинг. Преимущества и недостатки - URL: </w:t>
      </w:r>
      <w:r>
        <w:fldChar w:fldCharType="begin"/>
      </w:r>
      <w:r>
        <w:instrText xml:space="preserve"> HYPERLINK "https://students-library.com/library/read/4593-ponatia-autsorsing-iinsorsing-preimusestva-i-nedostatki" </w:instrText>
      </w:r>
      <w:r>
        <w:fldChar w:fldCharType="separate"/>
      </w:r>
      <w:r>
        <w:rPr>
          <w:rStyle w:val="15"/>
          <w:rFonts w:cs="Times New Roman"/>
          <w:color w:val="auto"/>
        </w:rPr>
        <w:t>https://students-library.com/library/read/4593-ponatia-autsorsing-iinsorsing-preimusestva-i-nedostatki</w:t>
      </w:r>
      <w:r>
        <w:rPr>
          <w:rStyle w:val="15"/>
          <w:rFonts w:cs="Times New Roman"/>
          <w:color w:val="auto"/>
        </w:rPr>
        <w:fldChar w:fldCharType="end"/>
      </w:r>
      <w:r>
        <w:rPr>
          <w:rFonts w:cs="Times New Roman"/>
        </w:rPr>
        <w:t>.</w:t>
      </w:r>
      <w:r>
        <w:rPr>
          <w:rFonts w:cs="Times New Roman"/>
          <w:color w:val="FF0000"/>
        </w:rPr>
        <w:t xml:space="preserve"> </w:t>
      </w:r>
      <w:r>
        <w:rPr>
          <w:rFonts w:cs="Times New Roman"/>
        </w:rPr>
        <w:t>(</w:t>
      </w:r>
      <w:r>
        <w:rPr>
          <w:rStyle w:val="15"/>
          <w:rFonts w:cs="Times New Roman"/>
          <w:color w:val="auto"/>
        </w:rPr>
        <w:t>дата обращения: 12.02.2020).</w:t>
      </w:r>
    </w:p>
    <w:p>
      <w:pPr>
        <w:pStyle w:val="36"/>
        <w:numPr>
          <w:ilvl w:val="0"/>
          <w:numId w:val="16"/>
        </w:numPr>
        <w:ind w:left="0" w:firstLine="709"/>
        <w:rPr>
          <w:rStyle w:val="15"/>
          <w:rFonts w:cs="Times New Roman"/>
          <w:color w:val="auto"/>
        </w:rPr>
      </w:pPr>
      <w:r>
        <w:rPr>
          <w:rFonts w:cs="Times New Roman"/>
        </w:rPr>
        <w:t xml:space="preserve">Расчет потребного числа транспортных средств и их водителей - URL: </w:t>
      </w:r>
      <w:r>
        <w:fldChar w:fldCharType="begin"/>
      </w:r>
      <w:r>
        <w:instrText xml:space="preserve"> HYPERLINK "http://www.transportine.ru/inets-368-1.html" </w:instrText>
      </w:r>
      <w:r>
        <w:fldChar w:fldCharType="separate"/>
      </w:r>
      <w:r>
        <w:rPr>
          <w:rStyle w:val="15"/>
          <w:rFonts w:cs="Times New Roman"/>
          <w:color w:val="auto"/>
        </w:rPr>
        <w:t>http://www.transportine.ru/inets-368-1.html</w:t>
      </w:r>
      <w:r>
        <w:rPr>
          <w:rStyle w:val="15"/>
          <w:rFonts w:cs="Times New Roman"/>
          <w:color w:val="auto"/>
        </w:rPr>
        <w:fldChar w:fldCharType="end"/>
      </w:r>
      <w:r>
        <w:rPr>
          <w:rFonts w:cs="Times New Roman"/>
        </w:rPr>
        <w:t>. (</w:t>
      </w:r>
      <w:r>
        <w:rPr>
          <w:rStyle w:val="15"/>
          <w:rFonts w:cs="Times New Roman"/>
          <w:color w:val="auto"/>
        </w:rPr>
        <w:t>дата обращения: 12.02.2020).</w:t>
      </w:r>
    </w:p>
    <w:p>
      <w:pPr>
        <w:spacing w:after="0"/>
        <w:rPr>
          <w:rFonts w:ascii="Times New Roman" w:hAnsi="Times New Roman" w:eastAsia="Calibri" w:cs="Times New Roman"/>
          <w:color w:val="000000"/>
          <w:sz w:val="28"/>
          <w:szCs w:val="28"/>
          <w:shd w:val="clear" w:color="auto" w:fill="FFFFFF"/>
        </w:rPr>
      </w:pPr>
      <w:r>
        <w:rPr>
          <w:rFonts w:ascii="Times New Roman" w:hAnsi="Times New Roman" w:eastAsia="Calibri" w:cs="Times New Roman"/>
          <w:color w:val="000000"/>
          <w:sz w:val="28"/>
          <w:szCs w:val="28"/>
          <w:shd w:val="clear" w:color="auto" w:fill="FFFFFF"/>
        </w:rPr>
        <w:br w:type="page"/>
      </w:r>
    </w:p>
    <w:p>
      <w:pPr>
        <w:spacing w:after="0" w:line="360" w:lineRule="auto"/>
        <w:ind w:firstLine="680"/>
        <w:jc w:val="right"/>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Ю.А.Юкин </w:t>
      </w:r>
    </w:p>
    <w:p>
      <w:pPr>
        <w:spacing w:after="0" w:line="360" w:lineRule="auto"/>
        <w:ind w:firstLine="680"/>
        <w:jc w:val="righ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Петербургский государственный университет путей сообщения</w:t>
      </w:r>
    </w:p>
    <w:p>
      <w:pPr>
        <w:spacing w:after="0" w:line="360" w:lineRule="auto"/>
        <w:ind w:firstLine="680"/>
        <w:jc w:val="righ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императора Александра I</w:t>
      </w:r>
    </w:p>
    <w:p>
      <w:pPr>
        <w:spacing w:after="0" w:line="360" w:lineRule="auto"/>
        <w:ind w:firstLine="680"/>
        <w:jc w:val="righ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Санкт-Петербург, Россия</w:t>
      </w:r>
    </w:p>
    <w:p>
      <w:pPr>
        <w:spacing w:after="0" w:line="360" w:lineRule="auto"/>
        <w:ind w:firstLine="680"/>
        <w:jc w:val="righ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к.э.н., доцент</w:t>
      </w:r>
    </w:p>
    <w:p>
      <w:pPr>
        <w:spacing w:after="0" w:line="240" w:lineRule="auto"/>
        <w:ind w:firstLine="680"/>
        <w:jc w:val="right"/>
        <w:rPr>
          <w:rFonts w:ascii="Times New Roman" w:hAnsi="Times New Roman" w:eastAsia="Times New Roman" w:cs="Times New Roman"/>
          <w:b/>
          <w:sz w:val="28"/>
          <w:szCs w:val="28"/>
          <w:lang w:eastAsia="ru-RU"/>
        </w:rPr>
      </w:pPr>
    </w:p>
    <w:p>
      <w:pPr>
        <w:pStyle w:val="2"/>
        <w:spacing w:before="0"/>
        <w:jc w:val="center"/>
        <w:rPr>
          <w:rFonts w:ascii="Times New Roman" w:hAnsi="Times New Roman"/>
          <w:b/>
          <w:sz w:val="28"/>
          <w:szCs w:val="28"/>
          <w:lang w:eastAsia="ru-RU"/>
        </w:rPr>
      </w:pPr>
      <w:bookmarkStart w:id="23" w:name="_Toc37266324"/>
      <w:r>
        <w:rPr>
          <w:rFonts w:ascii="Times New Roman" w:hAnsi="Times New Roman"/>
          <w:b/>
          <w:color w:val="auto"/>
          <w:sz w:val="28"/>
          <w:szCs w:val="28"/>
          <w:lang w:eastAsia="ru-RU"/>
        </w:rPr>
        <w:t>ЗНАЧЕНИЕ РАЗВИТИЯ УПРАВЛЕНИЯ ЦЕПЯМИ ПОСТАВОК В ПОВЫШЕНИИ ЭФФЕКТИВНОСТИ ВТК</w:t>
      </w:r>
      <w:bookmarkEnd w:id="23"/>
    </w:p>
    <w:p>
      <w:pPr>
        <w:spacing w:after="0" w:line="240" w:lineRule="auto"/>
        <w:ind w:firstLine="680"/>
        <w:jc w:val="center"/>
        <w:rPr>
          <w:rFonts w:ascii="Times New Roman" w:hAnsi="Times New Roman" w:eastAsia="Times New Roman" w:cs="Times New Roman"/>
          <w:b/>
          <w:sz w:val="28"/>
          <w:szCs w:val="28"/>
          <w:lang w:eastAsia="ru-RU"/>
        </w:rPr>
      </w:pPr>
    </w:p>
    <w:p>
      <w:pPr>
        <w:spacing w:after="0" w:line="240" w:lineRule="auto"/>
        <w:ind w:firstLine="680"/>
        <w:jc w:val="right"/>
        <w:rPr>
          <w:rFonts w:ascii="Times New Roman" w:hAnsi="Times New Roman" w:eastAsia="Times New Roman" w:cs="Times New Roman"/>
          <w:sz w:val="28"/>
          <w:szCs w:val="28"/>
          <w:lang w:eastAsia="ru-RU"/>
        </w:rPr>
      </w:pP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Аннотация</w:t>
      </w:r>
      <w:r>
        <w:rPr>
          <w:rFonts w:ascii="Times New Roman" w:hAnsi="Times New Roman" w:eastAsia="Times New Roman" w:cs="Times New Roman"/>
          <w:sz w:val="28"/>
          <w:szCs w:val="28"/>
          <w:lang w:eastAsia="ru-RU"/>
        </w:rPr>
        <w:t>: Статья посвящена теме ресурсного обеспечения развития ВТК, проблемам развития цепей поставок в высокотехнологичных отраслях российской экономики, движению материальных, финансовых, информационных потоков, оптимизации управления цепочками поставок.</w:t>
      </w:r>
    </w:p>
    <w:p>
      <w:pPr>
        <w:spacing w:after="0" w:line="240" w:lineRule="auto"/>
        <w:ind w:firstLine="680"/>
        <w:jc w:val="right"/>
        <w:rPr>
          <w:rFonts w:ascii="Times New Roman" w:hAnsi="Times New Roman" w:eastAsia="Times New Roman" w:cs="Times New Roman"/>
          <w:sz w:val="28"/>
          <w:szCs w:val="28"/>
          <w:lang w:eastAsia="ru-RU"/>
        </w:rPr>
      </w:pPr>
    </w:p>
    <w:p>
      <w:pPr>
        <w:spacing w:after="0" w:line="240" w:lineRule="auto"/>
        <w:ind w:firstLine="680"/>
        <w:jc w:val="right"/>
        <w:rPr>
          <w:rFonts w:ascii="Times New Roman" w:hAnsi="Times New Roman" w:eastAsia="Times New Roman" w:cs="Times New Roman"/>
          <w:b/>
          <w:sz w:val="28"/>
          <w:szCs w:val="28"/>
          <w:lang w:eastAsia="ru-RU"/>
        </w:rPr>
      </w:pPr>
    </w:p>
    <w:p>
      <w:pPr>
        <w:spacing w:after="0" w:line="36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Ключевые слова:</w:t>
      </w:r>
      <w:r>
        <w:rPr>
          <w:rFonts w:ascii="Times New Roman" w:hAnsi="Times New Roman" w:eastAsia="Times New Roman" w:cs="Times New Roman"/>
          <w:sz w:val="28"/>
          <w:szCs w:val="28"/>
          <w:lang w:eastAsia="ru-RU"/>
        </w:rPr>
        <w:t xml:space="preserve"> Высокие технологии, конкурентная экономика, ресурсная поддержка, оптимизация процессов, управление цепями поставок.</w:t>
      </w:r>
    </w:p>
    <w:p>
      <w:pPr>
        <w:spacing w:after="0" w:line="360" w:lineRule="auto"/>
        <w:ind w:firstLine="680"/>
        <w:jc w:val="center"/>
        <w:rPr>
          <w:rFonts w:ascii="Times New Roman" w:hAnsi="Times New Roman" w:eastAsia="Times New Roman" w:cs="Times New Roman"/>
          <w:b/>
          <w:sz w:val="28"/>
          <w:szCs w:val="28"/>
          <w:lang w:eastAsia="ru-RU"/>
        </w:rPr>
      </w:pP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Если рассматривать управление цепями поставок как интегрированный механизм доведения потребительской ценности  до конечного потребителя, то в достижении цели перевода российской экономики на инновационные рельсы ее развития, для развития высокотехнологического комплекса России, большое значение играет оптимизация управления потоками в цепях поставок.  Потоки в цепях поставок в совокупности представляют собой движение материальных, финансовых и информационных ресурсов хозяйствующих субъектов. </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настоящее время на рынках гражданской готовой продукции и высокотехнологичных изделий, особенно системных, позиций России крайне слабы. По данным российских экспертов, удельный вес отечественных машин, оборудования и транспортных средств в общем объеме мирового экспорта машинно-технических изделий не превышает 0,4%, а его стоимостные показатели в настоящее время многократно уступают аналогичным величинам для новых индустриальных стран и практически несопоставимы с объемами поставок ведущих промышленно развитых государств. В последнее время, по оценке Всемирного банка, Россия ежегодно экспортирует высокотехнологичных изделий на сумму 2,5-3 млрд. долл., что составляет не более 0,3% всего объема международной торговли указанной продукцией.</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Высокотехнологичными считаются те отрасли, в отгруженной продукции которых доля затрат на отраслевую науку составляет не менее 4,5-5 %, а высоконаукоёмкими отраслями — свыше 10 %. В свое время (в начале 1990-х) в ОЭСР была принята классификация отраслей по степени технологичности, где различались высокотехнологичные, средневысокотехнологичные, средненизкотехнологичные и низкотехнологичные отрасли.</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Специфика российской промышленности такова, что в настоящее время все оборонные отрасли, а также радиоэлектронные комплекс (РЭК), атомная промышленность и атомная энергетика (АТП и АЭ), производство сложных (специальных) видов техники (СВТ) относятся к наукоёмким, а авиационная и ракетно-космическая промышленности (АРКП) относятся к высоконаукоёмким отраслям.</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 настоящему времени ВТК России распался на три технологически неоднородных сегмента, имеющих разную динамику и обладающих разным потенциалом развития. Значительная часть производств ВТК уже встроена в международные кооперационные цепочки и сильно зависит от дальнейшего развития рынков продукции военного назначения и гражданской высокотехнологичной продукции. Другой сегмент ВТК ориентирован на выполнение гособоронзаказа и федеральных целевых программ, но его реструктуризация ещё не завершилась в связи с медленным созданием интегрированных структур и формированием госкорпораций. В третий сегмент входят предприятия, перепрофилировавшие свои мощности на выпуск гражданской продукции, востребованной на местных рынках. Этот сегмент испытывает наибольшие проблемы в период кризиса и будет медленно расти в посткризисный период.</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Следует отметить весомость следующих факторов в решении поставленных задач:</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Экономический фактор. В современных условиях на первый план выдвигается поиск возможностей сокращения производственных затрат и издержек обращения ради получения прибыли. Логистика позволяет связать экономические интересы производителя продукции и ее потребителя.</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Организационно-экономический фактор. В условиях рынка, по мере возникновения и развития новых организационных форм, реализующих процессы товародвижения, все большее значение приобретают интеграционные формы управления и координации, обеспечение логистических процессов взаимодействия предприятий-изготовителей, потребителей, посредников, складов и транспорта.</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Информационный фактор. Рыночная экономика способствует развитию информационных связей, которые являются причиной и следствием рыночных отношений, взаимообуславливают друг друга. Информатика наиболее тесно связывает рынок и логистику, поскольку ее предметом, средством и составляющей логистических процессов являются информационные потоки.</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Технический фактор. Этот фактор проявляется в том, что логистика как система, ее субъекты и объекты управления развиваются на основе современных технических достижений в транспортно-складском хозяйстве и компьютеризации управления.</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 Государственная поддержка процессов товародвижения. В современных условиях возникает задача регулирования процессов товародвижения не только на уровне предприятий, но и в масштабах регионов, а также в национальном масштабе.</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Учет вышеперечисленных факторов абсолютно применим и для повышения конкурентоспособности высокотехнологического сектора российской экономики.</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90-е годы в силу известных причин и, как следствие, в результате целенаправленных мер по сокращению государственной поддержки науки и инноваций, сокращению оборонных заказов и открытию внутреннего рынка конкурентные позиции в основном были утеряны, возобладала тенденция технологической деградации экономики России. И без того незначительная доля 5-го технологического уклада в российской экономике, сконцентрированная в основном в ВТК, упала втрое, отечественная наукоемкая продукция вытеснялась конкурентами с внешнего и внутреннего рынков, многие высокотехнологичные подотрасли практически были свернуты, число инновационно активных предприятий промышленности многократно сократилось. Даже в условиях оживления российской экономики в 2000-2004 гг. (а основном за счет внешних факторов) эти опасные для будущего страны тенденции еще не преодолены.</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Подъем ВТК, оптимизация процессов управления в цепях поставок играет ключевую роль в обеспечении устойчивого качественного экономического роста, подъема конкурентоспособной экономики. Только на базе технологической модернизации и обновления основных фондов с заменой предельно устаревшего оборудования техникой и технологией 5-го, а затем 6-го укладов возможно обеспечить конкурентоспособность и рост продаж отечественной продукции на внутренних и внешних рынках, следовательно, увеличивать доходы предприятий, населения, государства. </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Следует учитывать, что действие внешних источников экономического роста в основном исчерпывается, наметились тенденции ухудшения конъюнктуры мировых рынков, опережающего роста импорта и доли импортных товаров в розничной торговле России.</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современном этапе развития российской экономики следует больше уделять внимание развитию внутреннего спроса, улучшению процессов по его обслуживанию.</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Всю большую совокупность инструментов “наладки” данного механизма можно объединить по нескольким группам.</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Группа нормативно-правовая. Несмотря на большое число действующих ныне нормативно-правовых актов, регулирующих научно-техническую и инновационную деятельность в экономике, в том числе в ВТК, по результативности и достаточности их нельзя признать оптимальными. Здесь много пробелов, в том числе по проблемам интеллектуальной собственности, системе льгот, включая налоговые, мотивации труда, по статусу территорий с высокой концентрацией научно-технического потенциала, по разграничению полномочий и взаимодействию между федеральным центром и субъектами Федерации.</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Группа экономическая. Сюда включаются все рычаги, связанные с поддержкой малых инновационных предприятий; с формированием благоприятного инвестиционного климата, включая государственные гарантии, госзаказ, контрактную систему, возможности страхования и залога; с совершенствованием налоговой системы с целью создания выгодных условий для развития высокотехнологичных, особенно приоритетных направлений; с совершенствованием планирования и прогнозирования научно-технологического развития России; - с эффективным использованием финансово-кредитных рычагов, включая использование возвратного финансирования высокоэффективных инновационных проектов; с созданием государственных гарантийных залоговых резервов под реальные активы, с введением нелинейной амортизации; с финансовой поддержкой патентной и изобретательской деятельности и др.</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Группа управленческая. В нее входит вся совокупность форм и методов, связанных с совершенствованием управления государственной собственностью в разных ее видах в интересах развития ВТК в целом, активизации научно-технической и инновационной деятельности в стране; эффективностью управления государственными пакетами акций в ВТК, с активным использованием всех форм собственности в интересах научно-технологического прогресса России в условиях ее активного «врастания» в мировое хозяйство; с обеспечением технологической безопасности; с защитой национальных интересов, включая протекционизм по отношению к отечественным производителям наукоемкой продукции внутри страны и помощь в ее продвижении на мировые товарные рынки и таможенный механизм, с развитием интеграции науки, образования, производства и рынка; с механизмом межведомственной координации; с подготовкой и переподготовкой управленческих кадров, в том числе государственных служащих.</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Подводя итоги анализа состояния и перспектив развития высокотехнологичного комплекса России, процессов управления материальными, финансовыми и информационными потоками можно сделать ряд выводов.</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 ВТК — более сложное системное научно-воспроизводственное образование по своей структуре, роли в экономике, ресурсному обеспечению, чем это трактуется в литературе, в нормативно-правовых актах России. Необходима конкретная проработка его структуры, нормативно закрепленная классификация наукоемких, высокотехнологичных отраслей, производств, системных продуктов. Это динамичная система и поэтому должна систематически (возможно, 1 раз в 5 лет) уточняться. </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Механизм развития ВТК России нуждается не просто в доработке, уточнении, корректировке, его следует выработать на системной основе, учитывая особую значимость ВТК для перспектив развития экономики России. В данном механизме блок государственного регулирования должен быть прописан особенно тщательно с учетом важности управления, координации, мотивации и комплексного ресурсного подкрепления процессов развития и эффективного функционирования ВТК в условиях рынка.</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Ресурсное обеспечение развития ВТК требует комплексного, согласованного подхода к источникам, объемам, срокам и условиям привлечения инвестиций с учетом особенностей современного технологического развития мирового хозяйства и национальной экономики страны. При этом особое внимание должно быть обращено на направленное инвестиционное воздействие формирующейся национальной венчурной системы на развитие инновационной активности в ВТК путем создания мощной прослойки малых инновационных предприятий в преобладающей массе технологически связанных с инновационными корпорациями ВТК.</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 вопросам, которые требуют разработки новых методологических подходов, относятся в частности: оценка состояния, уровня развития и использования материально-технической и опытно-экспериментальной базы науки; формирование системы мониторинга результативности деятельности научных организаций; изучение процессов интеграции науки и образования, деятельности интегрированных научно-образовательных структур; анализ интернационализации научной деятельности; обеспечение полноты обследуемой совокупности в сфере науки, включая организации, выполняющие исследования и разработки, независимо от формы собственности, организационно-правовой формы. Следует указать также на информационные пробелы, связанные с отсутствием систематизированных данных об объектах инновационной инфраструктуры, объемах и структуре венчурных инвестиций; существенной неполнотой статистического измерения малого инновационного бизнеса; почти полным отсутствием статистической информации об инновационных кластерах и др.</w:t>
      </w:r>
    </w:p>
    <w:p>
      <w:pPr>
        <w:spacing w:after="0" w:line="36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Можно сделать однозначный вывод, что применение существующих концепций управления цепями поставок, успешно апробированных в коммерческих структурах потребительского рынка, актуально и для решения задач, стоящих перед ВТК.  </w:t>
      </w:r>
    </w:p>
    <w:p>
      <w:pPr>
        <w:spacing w:after="0" w:line="360" w:lineRule="auto"/>
        <w:ind w:firstLine="680"/>
        <w:jc w:val="both"/>
        <w:rPr>
          <w:rFonts w:ascii="Times New Roman" w:hAnsi="Times New Roman" w:eastAsia="Times New Roman" w:cs="Times New Roman"/>
          <w:sz w:val="24"/>
          <w:szCs w:val="24"/>
          <w:lang w:eastAsia="ru-RU"/>
        </w:rPr>
      </w:pPr>
    </w:p>
    <w:p>
      <w:pPr>
        <w:spacing w:after="0" w:line="360" w:lineRule="auto"/>
        <w:ind w:firstLine="680"/>
        <w:jc w:val="center"/>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Библиографический список</w:t>
      </w:r>
    </w:p>
    <w:p>
      <w:pPr>
        <w:spacing w:after="0" w:line="360" w:lineRule="auto"/>
        <w:ind w:firstLine="680"/>
        <w:jc w:val="center"/>
        <w:rPr>
          <w:rFonts w:ascii="Times New Roman" w:hAnsi="Times New Roman" w:eastAsia="Times New Roman" w:cs="Times New Roman"/>
          <w:sz w:val="28"/>
          <w:szCs w:val="28"/>
          <w:lang w:eastAsia="ru-RU"/>
        </w:rPr>
      </w:pPr>
    </w:p>
    <w:p>
      <w:pPr>
        <w:spacing w:after="0" w:line="360" w:lineRule="auto"/>
        <w:ind w:firstLine="6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 Бауэрсокс Доналд Дж., Клосс Дейвид Дж. Логистика: интегрированная цепь поставок ,2-е изд. М.: ЗАО Олимп-Бизнес , 2008 г</w:t>
      </w:r>
    </w:p>
    <w:p>
      <w:pPr>
        <w:spacing w:after="0" w:line="360" w:lineRule="auto"/>
        <w:ind w:firstLine="6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Гатторна Дж. (ред.) Управление цепями поставок, Москва: ИНФРА-М, 2008.</w:t>
      </w:r>
    </w:p>
    <w:p>
      <w:pPr>
        <w:spacing w:after="0" w:line="360" w:lineRule="auto"/>
        <w:ind w:firstLine="6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Иванов Д.А. Управление цепями поставок ,СПб.: Издательство Политехнического университета, 2009.</w:t>
      </w:r>
    </w:p>
    <w:p>
      <w:pPr>
        <w:autoSpaceDE w:val="0"/>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Каржаув А.Т. Национальная система венчурного инвестирования – М.:ЗАО «Издательство «Экономика», 2006.</w:t>
      </w:r>
    </w:p>
    <w:p>
      <w:pPr>
        <w:rPr>
          <w:lang w:eastAsia="ru-RU"/>
        </w:rPr>
      </w:pPr>
      <w:r>
        <w:rPr>
          <w:lang w:eastAsia="ru-RU"/>
        </w:rPr>
        <w:br w:type="page"/>
      </w:r>
    </w:p>
    <w:p>
      <w:pPr>
        <w:pStyle w:val="2"/>
        <w:spacing w:before="0"/>
        <w:jc w:val="center"/>
        <w:rPr>
          <w:rFonts w:ascii="Times New Roman" w:hAnsi="Times New Roman"/>
          <w:b/>
          <w:i/>
          <w:color w:val="auto"/>
          <w:sz w:val="28"/>
          <w:szCs w:val="28"/>
          <w:lang w:val="en-US"/>
        </w:rPr>
      </w:pPr>
      <w:bookmarkStart w:id="24" w:name="_Toc361578290"/>
      <w:bookmarkStart w:id="25" w:name="_Toc37266325"/>
      <w:r>
        <w:rPr>
          <w:rFonts w:ascii="Times New Roman" w:hAnsi="Times New Roman"/>
          <w:b/>
          <w:color w:val="auto"/>
          <w:sz w:val="28"/>
          <w:szCs w:val="28"/>
          <w:lang w:val="en-US"/>
        </w:rPr>
        <w:t>ASPECTS OF USING COST-BENEFIT ANALYSIS FOR THE ECONOMIC PROGRAMS</w:t>
      </w:r>
      <w:bookmarkEnd w:id="24"/>
      <w:r>
        <w:rPr>
          <w:rFonts w:ascii="Times New Roman" w:hAnsi="Times New Roman"/>
          <w:b/>
          <w:color w:val="auto"/>
          <w:sz w:val="28"/>
          <w:szCs w:val="28"/>
          <w:lang w:val="en-US"/>
        </w:rPr>
        <w:t>.</w:t>
      </w:r>
      <w:bookmarkEnd w:id="25"/>
    </w:p>
    <w:p>
      <w:pPr>
        <w:spacing w:after="0"/>
        <w:rPr>
          <w:rFonts w:ascii="Times New Roman" w:hAnsi="Times New Roman" w:cs="Times New Roman"/>
          <w:lang w:val="en-US"/>
        </w:rPr>
      </w:pPr>
    </w:p>
    <w:p>
      <w:pPr>
        <w:pStyle w:val="42"/>
        <w:spacing w:after="0"/>
        <w:rPr>
          <w:sz w:val="28"/>
          <w:szCs w:val="28"/>
          <w:shd w:val="clear" w:color="auto" w:fill="FFFFFF"/>
        </w:rPr>
      </w:pPr>
      <w:r>
        <w:rPr>
          <w:sz w:val="28"/>
          <w:szCs w:val="28"/>
          <w:shd w:val="clear" w:color="auto" w:fill="FFFFFF"/>
        </w:rPr>
        <w:t>Tamar Gamsaxurdia</w:t>
      </w:r>
    </w:p>
    <w:p>
      <w:pPr>
        <w:pStyle w:val="42"/>
        <w:spacing w:after="0"/>
        <w:rPr>
          <w:b w:val="0"/>
          <w:sz w:val="20"/>
          <w:szCs w:val="20"/>
          <w:shd w:val="clear" w:color="auto" w:fill="FFFFFF"/>
        </w:rPr>
      </w:pPr>
      <w:r>
        <w:rPr>
          <w:b w:val="0"/>
          <w:sz w:val="20"/>
          <w:szCs w:val="20"/>
          <w:shd w:val="clear" w:color="auto" w:fill="FFFFFF"/>
        </w:rPr>
        <w:t>Grigol</w:t>
      </w:r>
      <w:r>
        <w:rPr>
          <w:rStyle w:val="43"/>
          <w:b w:val="0"/>
          <w:sz w:val="20"/>
          <w:szCs w:val="20"/>
          <w:shd w:val="clear" w:color="auto" w:fill="FFFFFF"/>
        </w:rPr>
        <w:t> </w:t>
      </w:r>
      <w:r>
        <w:rPr>
          <w:b w:val="0"/>
          <w:bCs/>
          <w:sz w:val="20"/>
          <w:szCs w:val="20"/>
          <w:shd w:val="clear" w:color="auto" w:fill="FFFFFF"/>
        </w:rPr>
        <w:t>Robakidze</w:t>
      </w:r>
      <w:r>
        <w:rPr>
          <w:rStyle w:val="43"/>
          <w:b w:val="0"/>
          <w:sz w:val="20"/>
          <w:szCs w:val="20"/>
          <w:shd w:val="clear" w:color="auto" w:fill="FFFFFF"/>
        </w:rPr>
        <w:t> </w:t>
      </w:r>
      <w:r>
        <w:rPr>
          <w:b w:val="0"/>
          <w:sz w:val="20"/>
          <w:szCs w:val="20"/>
          <w:shd w:val="clear" w:color="auto" w:fill="FFFFFF"/>
        </w:rPr>
        <w:t xml:space="preserve">University, Georgia. </w:t>
      </w:r>
      <w:r>
        <w:fldChar w:fldCharType="begin"/>
      </w:r>
      <w:r>
        <w:instrText xml:space="preserve"> HYPERLINK "mailto:gamsaxurdia.t@gmail.com" </w:instrText>
      </w:r>
      <w:r>
        <w:fldChar w:fldCharType="separate"/>
      </w:r>
      <w:r>
        <w:rPr>
          <w:rStyle w:val="15"/>
          <w:rFonts w:eastAsia="PMingLiU"/>
          <w:b w:val="0"/>
          <w:shd w:val="clear" w:color="auto" w:fill="FFFFFF"/>
        </w:rPr>
        <w:t>gamsaxurdia.t@gmail.com</w:t>
      </w:r>
      <w:r>
        <w:rPr>
          <w:rStyle w:val="15"/>
          <w:rFonts w:eastAsia="PMingLiU"/>
          <w:b w:val="0"/>
          <w:shd w:val="clear" w:color="auto" w:fill="FFFFFF"/>
        </w:rPr>
        <w:fldChar w:fldCharType="end"/>
      </w:r>
    </w:p>
    <w:p>
      <w:pPr>
        <w:pStyle w:val="42"/>
        <w:spacing w:after="0"/>
        <w:rPr>
          <w:sz w:val="28"/>
          <w:szCs w:val="28"/>
          <w:shd w:val="clear" w:color="auto" w:fill="FFFFFF"/>
        </w:rPr>
      </w:pPr>
      <w:r>
        <w:rPr>
          <w:sz w:val="28"/>
          <w:szCs w:val="28"/>
          <w:shd w:val="clear" w:color="auto" w:fill="FFFFFF"/>
        </w:rPr>
        <w:t xml:space="preserve">Akaki  Mikaberidze </w:t>
      </w:r>
    </w:p>
    <w:p>
      <w:pPr>
        <w:pStyle w:val="42"/>
        <w:spacing w:after="0"/>
        <w:rPr>
          <w:b w:val="0"/>
          <w:sz w:val="20"/>
          <w:szCs w:val="20"/>
        </w:rPr>
      </w:pPr>
      <w:r>
        <w:rPr>
          <w:b w:val="0"/>
          <w:sz w:val="20"/>
          <w:szCs w:val="20"/>
        </w:rPr>
        <w:t>Iv.Javakhishvili Tbilisi State University, Georgia, akaki.mikaberidze@tsu.ge</w:t>
      </w:r>
    </w:p>
    <w:p>
      <w:pPr>
        <w:pStyle w:val="42"/>
        <w:spacing w:after="0"/>
        <w:rPr>
          <w:sz w:val="20"/>
          <w:szCs w:val="20"/>
        </w:rPr>
      </w:pPr>
    </w:p>
    <w:p>
      <w:pPr>
        <w:pStyle w:val="42"/>
        <w:spacing w:after="0"/>
        <w:rPr>
          <w:sz w:val="20"/>
          <w:szCs w:val="20"/>
        </w:rPr>
      </w:pPr>
    </w:p>
    <w:p>
      <w:pPr>
        <w:spacing w:after="0" w:line="240" w:lineRule="auto"/>
        <w:ind w:firstLine="576"/>
        <w:rPr>
          <w:rFonts w:ascii="Times New Roman" w:hAnsi="Times New Roman" w:cs="Times New Roman"/>
          <w:b/>
          <w:sz w:val="28"/>
          <w:szCs w:val="28"/>
          <w:lang w:val="en-US" w:eastAsia="lt-LT"/>
        </w:rPr>
      </w:pPr>
      <w:r>
        <w:rPr>
          <w:rFonts w:ascii="Times New Roman" w:hAnsi="Times New Roman" w:cs="Times New Roman"/>
          <w:b/>
          <w:sz w:val="28"/>
          <w:szCs w:val="28"/>
          <w:lang w:val="en-US" w:eastAsia="lt-LT"/>
        </w:rPr>
        <w:t>Abstract</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In Georgia, average annual income per capita is 7875 GEL (656 a month).</w:t>
      </w:r>
      <w:r>
        <w:rPr>
          <w:rFonts w:ascii="Times New Roman" w:hAnsi="Times New Roman" w:cs="Times New Roman"/>
          <w:lang w:val="ka-GE"/>
        </w:rPr>
        <w:t xml:space="preserve"> Thus we can estimate that a participant of hypothetical program in Georgia would also receive 56% of the average salary, while a member of the control group will receive 41%.</w:t>
      </w:r>
      <w:r>
        <w:rPr>
          <w:rFonts w:ascii="Times New Roman" w:hAnsi="Times New Roman" w:cs="Times New Roman"/>
          <w:lang w:val="en-US"/>
        </w:rPr>
        <w:t xml:space="preserve"> Annual average salary in Georgia is 7875*56%=4410 (3229). Income tax in Georgia is 20%, so the person would have to pay </w:t>
      </w:r>
      <w:r>
        <w:rPr>
          <w:rFonts w:ascii="Times New Roman" w:hAnsi="Times New Roman" w:cs="Times New Roman"/>
          <w:lang w:val="ka-GE"/>
        </w:rPr>
        <w:t xml:space="preserve"> 4410*0.2= 882 </w:t>
      </w:r>
      <w:r>
        <w:rPr>
          <w:rFonts w:ascii="Times New Roman" w:hAnsi="Times New Roman" w:cs="Times New Roman"/>
          <w:lang w:val="en-US"/>
        </w:rPr>
        <w:t>GEL</w:t>
      </w:r>
      <w:r>
        <w:rPr>
          <w:rFonts w:ascii="Times New Roman" w:hAnsi="Times New Roman" w:cs="Times New Roman"/>
          <w:lang w:val="ka-GE"/>
        </w:rPr>
        <w:t xml:space="preserve"> (3229 *0,2 = 645,8). </w:t>
      </w:r>
      <w:r>
        <w:rPr>
          <w:rFonts w:ascii="Times New Roman" w:hAnsi="Times New Roman" w:cs="Times New Roman"/>
          <w:lang w:val="en-US"/>
        </w:rPr>
        <w:t>Additional income for each program participant is</w:t>
      </w:r>
      <w:r>
        <w:rPr>
          <w:rFonts w:ascii="Times New Roman" w:hAnsi="Times New Roman" w:cs="Times New Roman"/>
          <w:lang w:val="ka-GE"/>
        </w:rPr>
        <w:t xml:space="preserve"> 1181 </w:t>
      </w:r>
      <w:r>
        <w:rPr>
          <w:rFonts w:ascii="Times New Roman" w:hAnsi="Times New Roman" w:cs="Times New Roman"/>
          <w:lang w:val="en-US"/>
        </w:rPr>
        <w:t xml:space="preserve">GEL. To verify the effect of increased work productivity, we will consider annual GDP per person as a value added to the average residence in the workforce. We can assume that work productivity of program participants and control group members will be proportional to the wages.  </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GDP per capital is 5812 GEL</w:t>
      </w:r>
      <w:r>
        <w:rPr>
          <w:rFonts w:ascii="Times New Roman" w:hAnsi="Times New Roman" w:cs="Times New Roman"/>
          <w:lang w:val="ka-GE"/>
        </w:rPr>
        <w:t xml:space="preserve">, </w:t>
      </w:r>
      <w:r>
        <w:rPr>
          <w:rFonts w:ascii="Times New Roman" w:hAnsi="Times New Roman" w:cs="Times New Roman"/>
          <w:lang w:val="en-US"/>
        </w:rPr>
        <w:t xml:space="preserve">let’s deduct annual salary from the total since we already discussed the salary increase effect in the previous clause. Annually an average resident creates additional value in the form of tax  </w:t>
      </w:r>
      <w:r>
        <w:rPr>
          <w:rFonts w:ascii="Times New Roman" w:hAnsi="Times New Roman" w:cs="Times New Roman"/>
          <w:lang w:val="ka-GE"/>
        </w:rPr>
        <w:t xml:space="preserve">5812 - 4875 = 937 </w:t>
      </w:r>
      <w:r>
        <w:rPr>
          <w:rFonts w:ascii="Times New Roman" w:hAnsi="Times New Roman" w:cs="Times New Roman"/>
          <w:lang w:val="en-US"/>
        </w:rPr>
        <w:t xml:space="preserve">GEL. </w:t>
      </w:r>
      <w:r>
        <w:rPr>
          <w:rFonts w:ascii="Times New Roman" w:hAnsi="Times New Roman" w:cs="Times New Roman"/>
          <w:lang w:val="ka-GE"/>
        </w:rPr>
        <w:t xml:space="preserve">  Program participant earned 56%-</w:t>
      </w:r>
      <w:r>
        <w:rPr>
          <w:rFonts w:ascii="Sylfaen" w:hAnsi="Sylfaen" w:cs="Sylfaen"/>
          <w:lang w:val="ka-GE"/>
        </w:rPr>
        <w:t>ს</w:t>
      </w:r>
      <w:r>
        <w:rPr>
          <w:rFonts w:ascii="Times New Roman" w:hAnsi="Times New Roman" w:cs="Times New Roman"/>
          <w:lang w:val="ka-GE"/>
        </w:rPr>
        <w:t xml:space="preserve">, control group member earned  41%.  All future value-added costs offered by the program participant equals 525 GEL.  For the control group this figure is 384. Economic effect equals to 141 GEL. Such estimation is probably exaggerated. </w:t>
      </w:r>
      <w:r>
        <w:rPr>
          <w:rFonts w:ascii="Times New Roman" w:hAnsi="Times New Roman" w:cs="Times New Roman"/>
          <w:lang w:val="en-US"/>
        </w:rPr>
        <w:t xml:space="preserve">To get more realistic estimations, we could exclude certain articles from the GDP, that are not dependent on the labor productivity. Clearly there are other types of effects for program participants, though they are less essential compared to the above one. Reduced welfare assistance costs are not as essential as the increased salaries and work productivity. </w:t>
      </w:r>
    </w:p>
    <w:p>
      <w:pPr>
        <w:spacing w:after="0" w:line="240" w:lineRule="auto"/>
        <w:jc w:val="both"/>
        <w:rPr>
          <w:rFonts w:ascii="Times New Roman" w:hAnsi="Times New Roman" w:cs="Times New Roman"/>
          <w:lang w:val="en-US"/>
        </w:rPr>
      </w:pPr>
      <w:r>
        <w:rPr>
          <w:rFonts w:ascii="Times New Roman" w:hAnsi="Times New Roman" w:cs="Times New Roman"/>
          <w:lang w:val="en-US"/>
        </w:rPr>
        <w:t>Reduced Crime Rates:</w:t>
      </w:r>
      <w:r>
        <w:rPr>
          <w:rFonts w:ascii="Times New Roman" w:hAnsi="Times New Roman" w:cs="Times New Roman"/>
          <w:b/>
          <w:lang w:val="ka-GE"/>
        </w:rPr>
        <w:t xml:space="preserve"> </w:t>
      </w:r>
      <w:r>
        <w:rPr>
          <w:rFonts w:ascii="Times New Roman" w:hAnsi="Times New Roman" w:cs="Times New Roman"/>
          <w:lang w:val="en-US"/>
        </w:rPr>
        <w:t>We should note that in Georgia it is difficult to measure the costs incurred from the crimes. The scale of cost counting deriving from crimes is very limited in Georgia. In this article we will rely on the information from the United States, which can be adapted to current realities in Georgia using the corrective coefficient due to the differences in the scale of these two countries.</w:t>
      </w:r>
    </w:p>
    <w:p>
      <w:pPr>
        <w:pStyle w:val="42"/>
        <w:spacing w:after="0"/>
        <w:rPr>
          <w:rFonts w:eastAsia="PMingLiU"/>
          <w:sz w:val="22"/>
          <w:szCs w:val="22"/>
          <w:lang w:val="en-US" w:eastAsia="zh-TW"/>
        </w:rPr>
      </w:pPr>
    </w:p>
    <w:p>
      <w:pPr>
        <w:pStyle w:val="42"/>
        <w:spacing w:after="0"/>
        <w:jc w:val="left"/>
        <w:rPr>
          <w:rFonts w:eastAsia="PMingLiU"/>
          <w:sz w:val="22"/>
          <w:szCs w:val="22"/>
          <w:lang w:eastAsia="zh-TW"/>
        </w:rPr>
      </w:pPr>
      <w:r>
        <w:rPr>
          <w:rFonts w:eastAsia="PMingLiU"/>
          <w:sz w:val="22"/>
          <w:szCs w:val="22"/>
          <w:lang w:eastAsia="zh-TW"/>
        </w:rPr>
        <w:t>Keywords:</w:t>
      </w:r>
      <w:r>
        <w:rPr>
          <w:b w:val="0"/>
          <w:sz w:val="22"/>
          <w:szCs w:val="22"/>
          <w:shd w:val="clear" w:color="auto" w:fill="FFFFFF"/>
        </w:rPr>
        <w:t xml:space="preserve"> Cost-benefit analysis, Georgia, Government,</w:t>
      </w:r>
      <w:r>
        <w:rPr>
          <w:b w:val="0"/>
          <w:sz w:val="22"/>
          <w:szCs w:val="22"/>
        </w:rPr>
        <w:t xml:space="preserve"> Financial costs, Correction of fiscal effects</w:t>
      </w:r>
    </w:p>
    <w:p>
      <w:pPr>
        <w:spacing w:after="0" w:line="240" w:lineRule="auto"/>
        <w:jc w:val="both"/>
        <w:rPr>
          <w:rFonts w:ascii="Times New Roman" w:hAnsi="Times New Roman" w:cs="Times New Roman"/>
          <w:lang w:val="en-GB"/>
        </w:rPr>
      </w:pPr>
    </w:p>
    <w:p>
      <w:pPr>
        <w:spacing w:after="0" w:line="240" w:lineRule="auto"/>
        <w:jc w:val="both"/>
        <w:rPr>
          <w:rFonts w:ascii="Times New Roman" w:hAnsi="Times New Roman" w:cs="Times New Roman"/>
          <w:b/>
          <w:lang w:val="en-US"/>
        </w:rPr>
      </w:pPr>
      <w:r>
        <w:rPr>
          <w:rFonts w:ascii="Times New Roman" w:hAnsi="Times New Roman" w:cs="Times New Roman"/>
          <w:b/>
          <w:lang w:val="en-US"/>
        </w:rPr>
        <w:t>Introduction</w:t>
      </w:r>
    </w:p>
    <w:p>
      <w:pPr>
        <w:spacing w:after="0" w:line="240" w:lineRule="auto"/>
        <w:jc w:val="both"/>
        <w:rPr>
          <w:rFonts w:ascii="Times New Roman" w:hAnsi="Times New Roman" w:cs="Times New Roman"/>
          <w:lang w:val="en-US"/>
        </w:rPr>
      </w:pP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The challenge is that we don’t information on the crime types and respective numbers, whether a program participant committed a crime or a control group member. At the same time we have the information that 55% of the control group members, at the age of 40, have been arrested 5 times in their life span, while the ratio of arrests among the program participants is 36%. Using rough estimates, we can assume that control group member face 55% probability to become “an average” criminal, while the program participants have face 36% of such probability. Realistic nature of this criteria is further supported, but the data showing the program participants under “40 years” that have been arrested once for violence is 32% (42% in a control group), for property theft – 36% (58%). Value gained from the crime reduction from the American program implementation is the 38% of the total benefit of the program. If we apply the same to Georgian reality, we could conclude that value gained from crime reduction is 1754 GEL. </w:t>
      </w:r>
    </w:p>
    <w:p>
      <w:pPr>
        <w:spacing w:after="0" w:line="240" w:lineRule="auto"/>
        <w:ind w:firstLine="576"/>
        <w:jc w:val="both"/>
        <w:rPr>
          <w:rFonts w:ascii="Times New Roman" w:hAnsi="Times New Roman" w:cs="Times New Roman"/>
          <w:lang w:val="en-US"/>
        </w:rPr>
      </w:pPr>
      <w:r>
        <w:rPr>
          <w:rFonts w:ascii="Times New Roman" w:hAnsi="Times New Roman" w:cs="Times New Roman"/>
          <w:lang w:val="ka-GE"/>
        </w:rPr>
        <w:t>Cumulative benefits of the hypothetical Georgian program to American High/Scope analogy with rough estimations is the following  4614 (1181 + 398 + 1140 + 141 + 1754) GEL per program participant.</w:t>
      </w:r>
      <w:r>
        <w:rPr>
          <w:rFonts w:ascii="Times New Roman" w:hAnsi="Times New Roman" w:cs="Times New Roman"/>
          <w:lang w:val="en-US"/>
        </w:rPr>
        <w:t xml:space="preserve"> With the assumption that current value of benefit is equal to current costs of the program implementation, we should note that the cost of the program per child should not exceed 3570 GEL. Is this amount sufficient for the implementation of the program? This amount exceeds 1.7 times the total value of general education (from 1</w:t>
      </w:r>
      <w:r>
        <w:rPr>
          <w:rFonts w:ascii="Times New Roman" w:hAnsi="Times New Roman" w:cs="Times New Roman"/>
          <w:vertAlign w:val="superscript"/>
          <w:lang w:val="en-US"/>
        </w:rPr>
        <w:t>st</w:t>
      </w:r>
      <w:r>
        <w:rPr>
          <w:rFonts w:ascii="Times New Roman" w:hAnsi="Times New Roman" w:cs="Times New Roman"/>
          <w:lang w:val="en-US"/>
        </w:rPr>
        <w:t xml:space="preserve"> to 9</w:t>
      </w:r>
      <w:r>
        <w:rPr>
          <w:rFonts w:ascii="Times New Roman" w:hAnsi="Times New Roman" w:cs="Times New Roman"/>
          <w:vertAlign w:val="superscript"/>
          <w:lang w:val="en-US"/>
        </w:rPr>
        <w:t>th</w:t>
      </w:r>
      <w:r>
        <w:rPr>
          <w:rFonts w:ascii="Times New Roman" w:hAnsi="Times New Roman" w:cs="Times New Roman"/>
          <w:lang w:val="en-US"/>
        </w:rPr>
        <w:t xml:space="preserve"> grade). It is 2.4 times more than the annual cost of preschool care in Georgia. We can assume that such program will have lower implementation costs and it will be beneficial for the economy of Georgia. Clearly, this is only initial estimation. The analysis relied on many rough assumptions/estimates:</w:t>
      </w:r>
    </w:p>
    <w:p>
      <w:pPr>
        <w:pStyle w:val="25"/>
        <w:numPr>
          <w:ilvl w:val="0"/>
          <w:numId w:val="17"/>
        </w:numPr>
        <w:spacing w:after="0" w:line="240" w:lineRule="auto"/>
        <w:ind w:left="0" w:firstLine="576"/>
        <w:contextualSpacing w:val="0"/>
        <w:jc w:val="both"/>
        <w:rPr>
          <w:rFonts w:ascii="Times New Roman" w:hAnsi="Times New Roman" w:cs="Times New Roman"/>
          <w:lang w:val="ka-GE"/>
        </w:rPr>
      </w:pPr>
      <w:r>
        <w:rPr>
          <w:rFonts w:ascii="Times New Roman" w:hAnsi="Times New Roman" w:cs="Times New Roman"/>
          <w:lang w:val="en-US"/>
        </w:rPr>
        <w:t xml:space="preserve">Baseline data assumptions, since Georgia lacks necessary data for such research. Accurate ‘cost-benefit” analysis was conducted after 40 years of program implementation and observation on program participants. There is no such experience in Georgia. Thus, using the outcomes as surrogates is necessary in Schweinhart’s analysis (Schweinhart 2005). </w:t>
      </w:r>
    </w:p>
    <w:p>
      <w:pPr>
        <w:pStyle w:val="25"/>
        <w:numPr>
          <w:ilvl w:val="0"/>
          <w:numId w:val="17"/>
        </w:numPr>
        <w:spacing w:after="0" w:line="240" w:lineRule="auto"/>
        <w:ind w:left="0" w:firstLine="576"/>
        <w:contextualSpacing w:val="0"/>
        <w:jc w:val="both"/>
        <w:rPr>
          <w:rFonts w:ascii="Times New Roman" w:hAnsi="Times New Roman" w:cs="Times New Roman"/>
          <w:lang w:val="ka-GE"/>
        </w:rPr>
      </w:pPr>
      <w:r>
        <w:rPr>
          <w:rFonts w:ascii="Times New Roman" w:hAnsi="Times New Roman" w:cs="Times New Roman"/>
          <w:lang w:val="en-US"/>
        </w:rPr>
        <w:t xml:space="preserve">From the program outcomes, the highest ratio of impact falls on the higher profit from increased work productivity of program participants and reduced crime rates. We could say that increase in work productivity is not ideal, but it’s quite realistic. Reduction of crime still needs more accurate analysis, for which we need data on the damage caused by the crimes. This is one of the crucial factors in conducting “cost-benefit analysis” for a social project lie this. It is regrettably so, that this field is not well developed in Georgia and thus the use of method becomes less realistic. </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The goal of the research is to confirm that it is possible to implement the program similar to the US program in Georgia. Considering some of the risk factors in Georgia, such as inappropriate spending, we can assume that investment put towards the children of economically vulnerable families will not be as sustainable as in the United States. However the US research indicates that investments in this field bring certain social and economic gains. </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As for the use of CBA: cost-benefit analysis in general it is doubtless that use of CBA can improve the efficient use of limited financial resources to support social welfare. </w:t>
      </w:r>
    </w:p>
    <w:p>
      <w:pPr>
        <w:spacing w:after="0" w:line="240" w:lineRule="auto"/>
        <w:jc w:val="both"/>
        <w:rPr>
          <w:rFonts w:ascii="Times New Roman" w:hAnsi="Times New Roman" w:cs="Times New Roman"/>
          <w:lang w:val="en-US"/>
        </w:rPr>
      </w:pPr>
    </w:p>
    <w:p>
      <w:pPr>
        <w:pStyle w:val="11"/>
        <w:shd w:val="clear" w:color="auto" w:fill="F8F9FA"/>
        <w:spacing w:line="451" w:lineRule="atLeast"/>
        <w:rPr>
          <w:rFonts w:ascii="Times New Roman" w:hAnsi="Times New Roman" w:cs="Times New Roman"/>
          <w:b/>
          <w:color w:val="222222"/>
          <w:sz w:val="24"/>
          <w:szCs w:val="24"/>
          <w:lang w:val="en-US"/>
        </w:rPr>
      </w:pPr>
      <w:r>
        <w:rPr>
          <w:rFonts w:ascii="Times New Roman" w:hAnsi="Times New Roman" w:cs="Times New Roman"/>
          <w:b/>
          <w:color w:val="222222"/>
          <w:sz w:val="24"/>
          <w:szCs w:val="24"/>
          <w:lang w:val="en-US"/>
        </w:rPr>
        <w:t>Formulation of the problem</w:t>
      </w:r>
    </w:p>
    <w:p>
      <w:pPr>
        <w:pStyle w:val="11"/>
        <w:shd w:val="clear" w:color="auto" w:fill="F8F9FA"/>
        <w:spacing w:line="451" w:lineRule="atLeast"/>
        <w:rPr>
          <w:rFonts w:ascii="Times New Roman" w:hAnsi="Times New Roman" w:cs="Times New Roman"/>
          <w:b/>
          <w:color w:val="222222"/>
          <w:sz w:val="24"/>
          <w:szCs w:val="24"/>
          <w:lang w:val="en-US"/>
        </w:rPr>
      </w:pPr>
      <w:r>
        <w:rPr>
          <w:rFonts w:ascii="Times New Roman" w:hAnsi="Times New Roman" w:cs="Times New Roman"/>
          <w:sz w:val="22"/>
          <w:szCs w:val="22"/>
          <w:lang w:val="en-US"/>
        </w:rPr>
        <w:t xml:space="preserve">   </w:t>
      </w:r>
    </w:p>
    <w:p>
      <w:pPr>
        <w:spacing w:after="0" w:line="240" w:lineRule="auto"/>
        <w:ind w:firstLine="576"/>
        <w:jc w:val="both"/>
        <w:rPr>
          <w:rFonts w:ascii="Times New Roman" w:hAnsi="Times New Roman" w:cs="Times New Roman"/>
          <w:color w:val="000000"/>
          <w:lang w:val="en-US"/>
        </w:rPr>
      </w:pPr>
      <w:r>
        <w:rPr>
          <w:rFonts w:ascii="Times New Roman" w:hAnsi="Times New Roman" w:cs="Times New Roman"/>
          <w:color w:val="000000"/>
          <w:lang w:val="en-US"/>
        </w:rPr>
        <w:t xml:space="preserve">Evaluation of environmental external effects presents itself as a wide array of opportunities for the use of CBA: cost-benefit analysis (for example, evaluation of environmental damage due to the use of pesticides or other substances that pollute environment in agricultural projects). There is a lot of experience in conducting project evaluations from the environmental perspective. Such evaluation strives to resolve two interdependent problems by identifying potential physical harm and assigning monetary measures to such activities.  </w:t>
      </w:r>
    </w:p>
    <w:p>
      <w:pPr>
        <w:spacing w:after="0" w:line="240" w:lineRule="auto"/>
        <w:ind w:firstLine="576"/>
        <w:jc w:val="both"/>
        <w:rPr>
          <w:rFonts w:ascii="Times New Roman" w:hAnsi="Times New Roman" w:cs="Times New Roman"/>
          <w:color w:val="000000"/>
          <w:lang w:val="en-US"/>
        </w:rPr>
      </w:pPr>
      <w:r>
        <w:rPr>
          <w:rFonts w:ascii="Times New Roman" w:hAnsi="Times New Roman" w:cs="Times New Roman"/>
          <w:color w:val="000000"/>
          <w:lang w:val="en-US"/>
        </w:rPr>
        <w:t xml:space="preserve">One of the important features of the “CBA: cost-benefit analysis” is the ability to measure it in monetary terms. To measure a change in individual’s welfare CBA compares a chance in individual’s income in monetary values by multiplying it by the marginal rate of the individual’s income evaluations.  </w:t>
      </w:r>
    </w:p>
    <w:p>
      <w:pPr>
        <w:spacing w:after="0" w:line="240" w:lineRule="auto"/>
        <w:ind w:firstLine="576"/>
        <w:jc w:val="both"/>
        <w:rPr>
          <w:rFonts w:ascii="Times New Roman" w:hAnsi="Times New Roman" w:cs="Times New Roman"/>
          <w:color w:val="000000"/>
          <w:lang w:val="en-US"/>
        </w:rPr>
      </w:pPr>
      <w:r>
        <w:rPr>
          <w:rFonts w:ascii="Times New Roman" w:hAnsi="Times New Roman" w:cs="Times New Roman"/>
          <w:color w:val="000000"/>
          <w:lang w:val="en-US"/>
        </w:rPr>
        <w:t xml:space="preserve">Identification of the pure income as a result of project implementation does not guarantee that each participants net income will be increased, therefore the project evaluations do not use the principle of </w:t>
      </w:r>
      <w:r>
        <w:rPr>
          <w:rFonts w:ascii="Times New Roman" w:hAnsi="Times New Roman" w:cs="Times New Roman"/>
          <w:i/>
          <w:color w:val="000000"/>
          <w:lang w:val="en-US"/>
        </w:rPr>
        <w:t>Pareto Efficiency</w:t>
      </w:r>
      <w:r>
        <w:rPr>
          <w:rFonts w:ascii="Times New Roman" w:hAnsi="Times New Roman" w:cs="Times New Roman"/>
          <w:color w:val="000000"/>
          <w:lang w:val="en-US"/>
        </w:rPr>
        <w:t xml:space="preserve">, but rather use the principle of </w:t>
      </w:r>
      <w:r>
        <w:rPr>
          <w:rFonts w:ascii="Times New Roman" w:hAnsi="Times New Roman" w:cs="Times New Roman"/>
          <w:i/>
          <w:color w:val="000000"/>
          <w:lang w:val="en-US"/>
        </w:rPr>
        <w:t>Potential Pareto Efficiency</w:t>
      </w:r>
      <w:r>
        <w:rPr>
          <w:rFonts w:ascii="Times New Roman" w:hAnsi="Times New Roman" w:cs="Times New Roman"/>
          <w:color w:val="000000"/>
          <w:lang w:val="en-US"/>
        </w:rPr>
        <w:t xml:space="preserve">, according to which the “the winners” in the project can compensate the loss of “the losers” in the project. </w:t>
      </w:r>
    </w:p>
    <w:p>
      <w:pPr>
        <w:spacing w:after="0" w:line="240" w:lineRule="auto"/>
        <w:ind w:firstLine="576"/>
        <w:jc w:val="both"/>
        <w:rPr>
          <w:rFonts w:ascii="Times New Roman" w:hAnsi="Times New Roman" w:cs="Times New Roman"/>
          <w:color w:val="000000"/>
          <w:lang w:val="en-US"/>
        </w:rPr>
      </w:pPr>
      <w:r>
        <w:rPr>
          <w:rFonts w:ascii="Times New Roman" w:hAnsi="Times New Roman" w:cs="Times New Roman"/>
          <w:color w:val="000000"/>
          <w:lang w:val="en-US"/>
        </w:rPr>
        <w:t xml:space="preserve">The possibility of defining “shadow prices” for goods is identified within the framework of marginal rates approach. The most general formulation of the international exchange corresponds with the concept of limiting dual evaluation of taxation balance in developing countries and determination of shadow exchange rates as marginal public value of foreign currency though the implementation of state investment project. The rate reflects the limitation of currency resources and is calculated based on the official exchange rates by correcting the import taxes and export subsidies. </w:t>
      </w:r>
    </w:p>
    <w:p>
      <w:pPr>
        <w:spacing w:after="0" w:line="240" w:lineRule="auto"/>
        <w:ind w:firstLine="576"/>
        <w:jc w:val="both"/>
        <w:rPr>
          <w:rFonts w:ascii="Times New Roman" w:hAnsi="Times New Roman" w:cs="Times New Roman"/>
          <w:color w:val="000000"/>
          <w:lang w:val="en-US"/>
        </w:rPr>
      </w:pPr>
      <w:r>
        <w:rPr>
          <w:rFonts w:ascii="Times New Roman" w:hAnsi="Times New Roman" w:cs="Times New Roman"/>
          <w:lang w:val="ka-GE"/>
        </w:rPr>
        <w:t>Little I. M. D.</w:t>
      </w:r>
      <w:r>
        <w:rPr>
          <w:rFonts w:ascii="Times New Roman" w:hAnsi="Times New Roman" w:cs="Times New Roman"/>
          <w:lang w:val="en-US"/>
        </w:rPr>
        <w:t xml:space="preserve"> And </w:t>
      </w:r>
      <w:r>
        <w:rPr>
          <w:rFonts w:ascii="Times New Roman" w:hAnsi="Times New Roman" w:cs="Times New Roman"/>
          <w:lang w:val="ka-GE"/>
        </w:rPr>
        <w:t>Mirrless J.A</w:t>
      </w:r>
      <w:r>
        <w:rPr>
          <w:rFonts w:ascii="Times New Roman" w:hAnsi="Times New Roman" w:cs="Times New Roman"/>
          <w:color w:val="000000"/>
          <w:lang w:val="ka-GE"/>
        </w:rPr>
        <w:t xml:space="preserve"> </w:t>
      </w:r>
      <w:r>
        <w:rPr>
          <w:rFonts w:ascii="Times New Roman" w:hAnsi="Times New Roman" w:cs="Times New Roman"/>
          <w:color w:val="000000"/>
          <w:lang w:val="en-US"/>
        </w:rPr>
        <w:t xml:space="preserve">in their fundamental research on external economic ties, suggests alternate method through correction of prices for goods and services. According to this approach, trade goods are prices using border or world prices, while non-for-trade goods assigned equivalent value (in terms of international exchange). </w:t>
      </w:r>
    </w:p>
    <w:p>
      <w:pPr>
        <w:spacing w:after="0" w:line="240" w:lineRule="auto"/>
        <w:ind w:firstLine="576"/>
        <w:jc w:val="both"/>
        <w:rPr>
          <w:rFonts w:ascii="Times New Roman" w:hAnsi="Times New Roman" w:cs="Times New Roman"/>
          <w:color w:val="000000"/>
          <w:lang w:val="en-US"/>
        </w:rPr>
      </w:pPr>
      <w:r>
        <w:rPr>
          <w:rFonts w:ascii="Times New Roman" w:hAnsi="Times New Roman" w:cs="Times New Roman"/>
          <w:color w:val="000000"/>
          <w:lang w:val="en-US"/>
        </w:rPr>
        <w:t xml:space="preserve">The main advantage of the marginal rate method is its simplicity. The method of marginal rate was widely used, especially for project evaluations funded by the World Bank. Benefits and costs identified by economic analysis should be discounted by special rates, defines as social, state or shadow rate. It reflects alternate costs for the best use of resources, for private as well as for state sectors. In CBA: cost-benefit analysis there are two approaches for defining the discount rates for public projects. In the school of Time Preferences of Social Norms the rate is a compensation, which requires saying not to the current commodity alternatives for the support of the future commodities. In the school of Social Alternate Value Capital it is viewed as the rate for using alternate resources beyond the project framework. </w:t>
      </w:r>
    </w:p>
    <w:p>
      <w:pPr>
        <w:spacing w:after="0" w:line="240" w:lineRule="auto"/>
        <w:ind w:firstLine="576"/>
        <w:jc w:val="both"/>
        <w:rPr>
          <w:rFonts w:ascii="Times New Roman" w:hAnsi="Times New Roman" w:cs="Times New Roman"/>
          <w:color w:val="000000"/>
          <w:lang w:val="en-US"/>
        </w:rPr>
      </w:pPr>
      <w:r>
        <w:rPr>
          <w:rFonts w:ascii="Times New Roman" w:hAnsi="Times New Roman" w:cs="Times New Roman"/>
          <w:color w:val="000000"/>
          <w:lang w:val="en-US"/>
        </w:rPr>
        <w:t xml:space="preserve">Relationship between the two types of discount rates is subject to continued discussions of economists. Before 1968 there was an opinion, that when evaluating an investment discount rate could be determined based on the marginal product of capital within ideal capital market of state sector. Later on, an approach that was proved successful for measuring the alternate value of goods and currency rates, was used to measure alternate value of capital. In a simplified form, such rate is the average of marginal product of capital and marginal rate of time preferences in private sector. The measurement is the flexibility of private investments on the one hand and private saving on the other over the changes in interest rates. Such method of defining social discount rate appears as a correct measurement or alternate value of state capital in developed countries where capital markets are well-established. </w:t>
      </w:r>
    </w:p>
    <w:p>
      <w:pPr>
        <w:spacing w:after="0" w:line="240" w:lineRule="auto"/>
        <w:ind w:firstLine="576"/>
        <w:jc w:val="both"/>
        <w:rPr>
          <w:rFonts w:ascii="Times New Roman" w:hAnsi="Times New Roman" w:cs="Times New Roman"/>
          <w:color w:val="000000"/>
          <w:lang w:val="en-US"/>
        </w:rPr>
      </w:pPr>
      <w:r>
        <w:rPr>
          <w:rFonts w:ascii="Times New Roman" w:hAnsi="Times New Roman" w:cs="Times New Roman"/>
          <w:color w:val="000000"/>
          <w:lang w:val="en-US"/>
        </w:rPr>
        <w:t xml:space="preserve">Social alternate value of capital is lower or equal to social value of private sector capital, as marginal level of time preferences is determined by the private savings after taxation (which is usually less than product of capital, determined with the consideration of taxes). However, for countries where capital markets are not well-developed, such kind of complex model is not applicable. In developing countries and countries with transitional economy, risk factors play key role in formulation of discounting rates. Thus, such difference is significantly reduced and it is possible to use single time discount rates when evaluating project in private and state sectors. </w:t>
      </w:r>
    </w:p>
    <w:p>
      <w:pPr>
        <w:spacing w:after="0" w:line="240" w:lineRule="auto"/>
        <w:ind w:firstLine="576"/>
        <w:jc w:val="both"/>
        <w:rPr>
          <w:rFonts w:ascii="Times New Roman" w:hAnsi="Times New Roman" w:cs="Times New Roman"/>
          <w:color w:val="000000"/>
          <w:lang w:val="en-US"/>
        </w:rPr>
      </w:pPr>
      <w:r>
        <w:rPr>
          <w:rFonts w:ascii="Times New Roman" w:hAnsi="Times New Roman" w:eastAsia="PMingLiU" w:cs="Times New Roman"/>
          <w:b/>
          <w:lang w:val="en-GB" w:eastAsia="zh-TW"/>
        </w:rPr>
        <w:t>Methods:</w:t>
      </w:r>
      <w:r>
        <w:rPr>
          <w:rFonts w:ascii="Times New Roman" w:hAnsi="Times New Roman" w:eastAsia="PMingLiU" w:cs="Times New Roman"/>
          <w:lang w:val="en-GB" w:eastAsia="zh-TW"/>
        </w:rPr>
        <w:t xml:space="preserve"> </w:t>
      </w:r>
      <w:r>
        <w:rPr>
          <w:rFonts w:ascii="Times New Roman" w:hAnsi="Times New Roman" w:cs="Times New Roman"/>
          <w:b/>
          <w:color w:val="000000"/>
          <w:lang w:val="en-US"/>
        </w:rPr>
        <w:t xml:space="preserve">Main concepts and stages of CBA: cost-benefit analysis. </w:t>
      </w:r>
      <w:r>
        <w:rPr>
          <w:rFonts w:ascii="Times New Roman" w:hAnsi="Times New Roman" w:cs="Times New Roman"/>
          <w:color w:val="000000"/>
          <w:lang w:val="en-US"/>
        </w:rPr>
        <w:t xml:space="preserve">CBA: cost-benefit analysis can be generally divided in three parts: Determining project technical specifications and circumstances; estimating net income of the project; and lastly, the most important part – determining social benefit of the project. </w:t>
      </w:r>
    </w:p>
    <w:p>
      <w:pPr>
        <w:spacing w:after="0" w:line="240" w:lineRule="auto"/>
        <w:ind w:firstLine="576"/>
        <w:jc w:val="both"/>
        <w:rPr>
          <w:rFonts w:ascii="Times New Roman" w:hAnsi="Times New Roman" w:cs="Times New Roman"/>
          <w:b/>
          <w:lang w:val="en-US"/>
        </w:rPr>
      </w:pPr>
      <w:r>
        <w:rPr>
          <w:rFonts w:ascii="Times New Roman" w:hAnsi="Times New Roman" w:cs="Times New Roman"/>
          <w:color w:val="000000"/>
          <w:lang w:val="en-US"/>
        </w:rPr>
        <w:t xml:space="preserve"> </w:t>
      </w:r>
      <w:r>
        <w:rPr>
          <w:rFonts w:ascii="Times New Roman" w:hAnsi="Times New Roman" w:cs="Times New Roman"/>
          <w:b/>
          <w:lang w:val="en-US"/>
        </w:rPr>
        <w:t xml:space="preserve">The main stages of the cost-benefit analysis are: </w:t>
      </w:r>
    </w:p>
    <w:p>
      <w:pPr>
        <w:tabs>
          <w:tab w:val="left" w:pos="284"/>
        </w:tabs>
        <w:autoSpaceDE w:val="0"/>
        <w:autoSpaceDN w:val="0"/>
        <w:adjustRightInd w:val="0"/>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1. Identification of the project. Certainly, during the initial state the social and economic goals should be clearly defined. Technical analysis of the project includes engineering aspects, as well as management, marketing and organizational components. Several alternatives are discussed at this stage and the best option is selected. </w:t>
      </w:r>
    </w:p>
    <w:p>
      <w:pPr>
        <w:autoSpaceDE w:val="0"/>
        <w:autoSpaceDN w:val="0"/>
        <w:adjustRightInd w:val="0"/>
        <w:spacing w:after="0" w:line="240" w:lineRule="auto"/>
        <w:ind w:firstLine="576"/>
        <w:jc w:val="both"/>
        <w:rPr>
          <w:rFonts w:ascii="Times New Roman" w:hAnsi="Times New Roman" w:cs="Times New Roman"/>
          <w:lang w:val="en-US"/>
        </w:rPr>
      </w:pPr>
      <w:r>
        <w:rPr>
          <w:rFonts w:ascii="Times New Roman" w:hAnsi="Times New Roman" w:cs="Times New Roman"/>
          <w:lang w:val="ka-GE"/>
        </w:rPr>
        <w:t xml:space="preserve">2. </w:t>
      </w:r>
      <w:r>
        <w:rPr>
          <w:rFonts w:ascii="Times New Roman" w:hAnsi="Times New Roman" w:cs="Times New Roman"/>
          <w:lang w:val="en-US"/>
        </w:rPr>
        <w:t xml:space="preserve">Financial analysis. Financial analysis is the foundation for further economic analysis. Through financial analysis information on the resources and final product of the project, their costs and distribution in a timeline is identified. </w:t>
      </w:r>
    </w:p>
    <w:p>
      <w:pPr>
        <w:autoSpaceDE w:val="0"/>
        <w:autoSpaceDN w:val="0"/>
        <w:adjustRightInd w:val="0"/>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3. Correction of fiscal effects. Financial analysis is usually different from the state perspective, which then requires certain corrections to take place. For example, profit tax that is registered as investor costs does not represent either social cost or benefit from the public standpoint. It is a transfer of resources from one social group to another for common welfare. Another example of fiscal effect is subsidies or the impact of taxes on the market prices of the products. Generally, there are two types of corrections being made at this stage. </w:t>
      </w:r>
    </w:p>
    <w:p>
      <w:pPr>
        <w:pStyle w:val="25"/>
        <w:numPr>
          <w:ilvl w:val="0"/>
          <w:numId w:val="18"/>
        </w:numPr>
        <w:tabs>
          <w:tab w:val="left" w:pos="720"/>
        </w:tabs>
        <w:autoSpaceDE w:val="0"/>
        <w:autoSpaceDN w:val="0"/>
        <w:adjustRightInd w:val="0"/>
        <w:spacing w:after="0" w:line="240" w:lineRule="auto"/>
        <w:ind w:left="0" w:firstLine="576"/>
        <w:contextualSpacing w:val="0"/>
        <w:jc w:val="both"/>
        <w:rPr>
          <w:rFonts w:ascii="Times New Roman" w:hAnsi="Times New Roman" w:cs="Times New Roman"/>
          <w:lang w:val="ka-GE"/>
        </w:rPr>
      </w:pPr>
      <w:r>
        <w:rPr>
          <w:rFonts w:ascii="Times New Roman" w:hAnsi="Times New Roman" w:cs="Times New Roman"/>
          <w:lang w:val="en-US"/>
        </w:rPr>
        <w:t xml:space="preserve">All types of fiscal effects (taxes, subsidies) should be eliminated. </w:t>
      </w:r>
    </w:p>
    <w:p>
      <w:pPr>
        <w:pStyle w:val="25"/>
        <w:numPr>
          <w:ilvl w:val="0"/>
          <w:numId w:val="18"/>
        </w:numPr>
        <w:tabs>
          <w:tab w:val="left" w:pos="720"/>
        </w:tabs>
        <w:autoSpaceDE w:val="0"/>
        <w:autoSpaceDN w:val="0"/>
        <w:adjustRightInd w:val="0"/>
        <w:spacing w:after="0" w:line="240" w:lineRule="auto"/>
        <w:ind w:left="0" w:firstLine="576"/>
        <w:contextualSpacing w:val="0"/>
        <w:jc w:val="both"/>
        <w:rPr>
          <w:rFonts w:ascii="Times New Roman" w:hAnsi="Times New Roman" w:cs="Times New Roman"/>
          <w:lang w:val="ka-GE"/>
        </w:rPr>
      </w:pPr>
      <w:r>
        <w:rPr>
          <w:rFonts w:ascii="Times New Roman" w:hAnsi="Times New Roman" w:cs="Times New Roman"/>
          <w:lang w:val="en-US"/>
        </w:rPr>
        <w:t xml:space="preserve">Market prices should be corrected considering the above fiscal effects. </w:t>
      </w:r>
    </w:p>
    <w:p>
      <w:pPr>
        <w:autoSpaceDE w:val="0"/>
        <w:autoSpaceDN w:val="0"/>
        <w:adjustRightInd w:val="0"/>
        <w:spacing w:after="0" w:line="240" w:lineRule="auto"/>
        <w:ind w:firstLine="576"/>
        <w:jc w:val="both"/>
        <w:rPr>
          <w:rFonts w:ascii="Times New Roman" w:hAnsi="Times New Roman" w:cs="Times New Roman"/>
          <w:lang w:val="en-US"/>
        </w:rPr>
      </w:pPr>
      <w:r>
        <w:rPr>
          <w:rFonts w:ascii="Times New Roman" w:hAnsi="Times New Roman" w:cs="Times New Roman"/>
          <w:lang w:val="ka-GE"/>
        </w:rPr>
        <w:t xml:space="preserve">4. Estimation of positive and negative external effects. </w:t>
      </w:r>
      <w:r>
        <w:rPr>
          <w:rFonts w:ascii="Times New Roman" w:hAnsi="Times New Roman" w:cs="Times New Roman"/>
          <w:lang w:val="en-US"/>
        </w:rPr>
        <w:t xml:space="preserve">External effects are public cost or benefit, which take place outside the project scope and impacts the thirds parties without monetary compensation. These factors cannot be reflected in market value, in other words they cannot be expressed in monetary terms. However, because this effects influence the welfare of different social groups, they need to be translated into monetary value through the following means: a) collecting information about the preferences with a survey (readiness for payment questionnaire); b)analyzing existing data. It is also important to evaluate project external effects from a broader perspective, such as social, environmental and gender-based effects of the program/project. </w:t>
      </w:r>
    </w:p>
    <w:p>
      <w:pPr>
        <w:autoSpaceDE w:val="0"/>
        <w:autoSpaceDN w:val="0"/>
        <w:adjustRightInd w:val="0"/>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To estimate the external effects currency exchange factor should be defined, which multiplied by the market price gives us a shadow price. To correct market price of products the following elements are used: marginal costs, for non-commercial products such as land, local transportation services are considered; export and import costs for products; standard conversion factor for small non-commercial products.  </w:t>
      </w:r>
    </w:p>
    <w:p>
      <w:pPr>
        <w:autoSpaceDE w:val="0"/>
        <w:autoSpaceDN w:val="0"/>
        <w:adjustRightInd w:val="0"/>
        <w:spacing w:after="0" w:line="240" w:lineRule="auto"/>
        <w:ind w:firstLine="576"/>
        <w:jc w:val="both"/>
        <w:rPr>
          <w:rFonts w:ascii="Times New Roman" w:hAnsi="Times New Roman" w:cs="Times New Roman"/>
          <w:lang w:val="en-US"/>
        </w:rPr>
      </w:pPr>
      <w:r>
        <w:rPr>
          <w:rFonts w:ascii="Times New Roman" w:hAnsi="Times New Roman" w:cs="Times New Roman"/>
          <w:lang w:val="en-US"/>
        </w:rPr>
        <w:t>5. calculating the economic return of the project. Once the corrections have been made based on the financial analysis, the next step is to calculate the economic return: risks are assessed through sensitivity analysis, case study analysis and potential income analysis</w:t>
      </w:r>
      <w:r>
        <w:rPr>
          <w:rFonts w:ascii="Times New Roman" w:hAnsi="Times New Roman" w:cs="Times New Roman"/>
          <w:lang w:val="ka-GE"/>
        </w:rPr>
        <w:t>.</w:t>
      </w:r>
      <w:r>
        <w:rPr>
          <w:rStyle w:val="14"/>
          <w:lang w:val="ka-GE"/>
        </w:rPr>
        <w:footnoteReference w:id="0"/>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Thus, the popularity of this method is driven from the following factors: universal nature of the indicators – interrelation of cost and benefits, which allows to comparatively analyze project from the same or different sectors. </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It should be noted that the main discussions around this method of project evaluation involves identification of social benefit rate and extrapolation of costs and benefits in monetary terms. The research shows that opinions still diverge around the CBA: cost-benefit analysis. The method is widely used to estimate the amount of return from the socially important projects as it presents felicific calculus of Bentham’s </w:t>
      </w:r>
      <w:r>
        <w:rPr>
          <w:rFonts w:ascii="Times New Roman" w:hAnsi="Times New Roman" w:cs="Times New Roman"/>
          <w:lang w:val="ka-GE"/>
        </w:rPr>
        <w:t>utilitarianism</w:t>
      </w:r>
      <w:r>
        <w:rPr>
          <w:rFonts w:ascii="Times New Roman" w:hAnsi="Times New Roman" w:cs="Times New Roman"/>
          <w:lang w:val="en-US"/>
        </w:rPr>
        <w:t xml:space="preserve">. The method also allows comparing the individual rationalism and public (state) sector. A very interesting forty-year long research was conducted in the States using the cost-benefit analysis. </w:t>
      </w:r>
    </w:p>
    <w:p>
      <w:pPr>
        <w:spacing w:after="0" w:line="240" w:lineRule="auto"/>
        <w:ind w:firstLine="576"/>
        <w:jc w:val="both"/>
        <w:rPr>
          <w:rFonts w:ascii="Times New Roman" w:hAnsi="Times New Roman" w:cs="Times New Roman"/>
          <w:lang w:val="en-US"/>
        </w:rPr>
      </w:pPr>
      <w:r>
        <w:rPr>
          <w:rFonts w:ascii="Times New Roman" w:hAnsi="Times New Roman" w:cs="Times New Roman"/>
          <w:b/>
          <w:lang w:val="en-US"/>
        </w:rPr>
        <w:t>Discussion items:</w:t>
      </w:r>
      <w:r>
        <w:rPr>
          <w:rFonts w:ascii="Times New Roman" w:hAnsi="Times New Roman" w:cs="Times New Roman"/>
          <w:b/>
          <w:lang w:val="ka-GE"/>
        </w:rPr>
        <w:t xml:space="preserve"> </w:t>
      </w:r>
      <w:r>
        <w:rPr>
          <w:rFonts w:ascii="Times New Roman" w:hAnsi="Times New Roman" w:cs="Times New Roman"/>
          <w:lang w:val="ka-GE"/>
        </w:rPr>
        <w:t>As mentioned above</w:t>
      </w:r>
      <w:r>
        <w:rPr>
          <w:rFonts w:ascii="Times New Roman" w:hAnsi="Times New Roman" w:cs="Times New Roman"/>
          <w:lang w:val="en-US"/>
        </w:rPr>
        <w:t xml:space="preserve"> cost-benefit analysis is widely used to evaluate the social impact of the state programs and projects. In this article we will discuss the research conducted in the United States using the cost-benefit analysis within the framework of High/Scope Perry Preschool program</w:t>
      </w:r>
      <w:r>
        <w:rPr>
          <w:rFonts w:ascii="Times New Roman" w:hAnsi="Times New Roman" w:cs="Times New Roman"/>
          <w:lang w:val="ka-GE"/>
        </w:rPr>
        <w:t>.</w:t>
      </w:r>
      <w:r>
        <w:rPr>
          <w:rStyle w:val="14"/>
          <w:lang w:val="ka-GE"/>
        </w:rPr>
        <w:footnoteReference w:id="1"/>
      </w:r>
      <w:r>
        <w:rPr>
          <w:rFonts w:ascii="Times New Roman" w:hAnsi="Times New Roman" w:cs="Times New Roman"/>
          <w:lang w:val="en-US"/>
        </w:rPr>
        <w:t xml:space="preserve"> During the implementation of this program, 123 kids were selected who would potential have learning difficulties later in school. From the random sample of 58 kids a group of program participants was established. The goal of the program was to evaluate the effectiveness of high quality pre-school education on the kids coming from economically vulnerable families, while the other 65 kids were part of the control group. The organizers observed and collected information on the participants of the program during forty years in terms of their education, economic activity, commitment of crime, family relationships and health condition. We considered the information from this research for a hypothetical Georgian program. Like </w:t>
      </w:r>
      <w:r>
        <w:rPr>
          <w:rFonts w:ascii="Times New Roman" w:hAnsi="Times New Roman" w:cs="Times New Roman"/>
          <w:lang w:val="ka-GE"/>
        </w:rPr>
        <w:t>High/Scope Perry Preschool</w:t>
      </w:r>
      <w:r>
        <w:rPr>
          <w:rFonts w:ascii="Times New Roman" w:hAnsi="Times New Roman" w:cs="Times New Roman"/>
          <w:lang w:val="en-US"/>
        </w:rPr>
        <w:t xml:space="preserve"> we have the hypothetical Georgian program for two years (</w:t>
      </w:r>
      <w:r>
        <w:rPr>
          <w:rFonts w:ascii="Times New Roman" w:hAnsi="Times New Roman" w:cs="Times New Roman"/>
          <w:lang w:val="ka-GE"/>
        </w:rPr>
        <w:t xml:space="preserve">T=2 </w:t>
      </w:r>
      <w:r>
        <w:rPr>
          <w:rFonts w:ascii="Times New Roman" w:hAnsi="Times New Roman" w:cs="Times New Roman"/>
          <w:lang w:val="en-US"/>
        </w:rPr>
        <w:t>years</w:t>
      </w:r>
      <w:r>
        <w:rPr>
          <w:rFonts w:ascii="Times New Roman" w:hAnsi="Times New Roman" w:cs="Times New Roman"/>
          <w:lang w:val="ka-GE"/>
        </w:rPr>
        <w:t xml:space="preserve">) </w:t>
      </w:r>
      <w:r>
        <w:rPr>
          <w:rFonts w:ascii="Sylfaen" w:hAnsi="Sylfaen" w:cs="Sylfaen"/>
          <w:lang w:val="ka-GE"/>
        </w:rPr>
        <w:t>და</w:t>
      </w:r>
      <w:r>
        <w:rPr>
          <w:rFonts w:ascii="Times New Roman" w:hAnsi="Times New Roman" w:cs="Times New Roman"/>
          <w:lang w:val="ka-GE"/>
        </w:rPr>
        <w:t xml:space="preserve"> </w:t>
      </w:r>
      <w:r>
        <w:rPr>
          <w:rFonts w:ascii="Times New Roman" w:hAnsi="Times New Roman" w:cs="Times New Roman"/>
          <w:lang w:val="en-US"/>
        </w:rPr>
        <w:t>and applies to the toddlers of 3-4 years of age</w:t>
      </w:r>
      <w:r>
        <w:rPr>
          <w:rFonts w:ascii="Times New Roman" w:hAnsi="Times New Roman" w:cs="Times New Roman"/>
          <w:lang w:val="ka-GE"/>
        </w:rPr>
        <w:t xml:space="preserve"> (T</w:t>
      </w:r>
      <w:r>
        <w:rPr>
          <w:rFonts w:ascii="Times New Roman" w:hAnsi="Times New Roman" w:cs="Times New Roman"/>
          <w:vertAlign w:val="subscript"/>
          <w:lang w:val="ka-GE"/>
        </w:rPr>
        <w:t>1</w:t>
      </w:r>
      <w:r>
        <w:rPr>
          <w:rFonts w:ascii="Times New Roman" w:hAnsi="Times New Roman" w:cs="Times New Roman"/>
          <w:lang w:val="ka-GE"/>
        </w:rPr>
        <w:t xml:space="preserve">= 3 </w:t>
      </w:r>
      <w:r>
        <w:rPr>
          <w:rFonts w:ascii="Times New Roman" w:hAnsi="Times New Roman" w:cs="Times New Roman"/>
          <w:lang w:val="en-US"/>
        </w:rPr>
        <w:t>years</w:t>
      </w:r>
      <w:r>
        <w:rPr>
          <w:rFonts w:ascii="Times New Roman" w:hAnsi="Times New Roman" w:cs="Times New Roman"/>
          <w:lang w:val="ka-GE"/>
        </w:rPr>
        <w:t>).</w:t>
      </w:r>
    </w:p>
    <w:p>
      <w:pPr>
        <w:spacing w:after="0" w:line="240" w:lineRule="auto"/>
        <w:ind w:firstLine="576"/>
        <w:jc w:val="both"/>
        <w:rPr>
          <w:rFonts w:ascii="Times New Roman" w:hAnsi="Times New Roman" w:cs="Times New Roman"/>
          <w:lang w:val="en-US"/>
        </w:rPr>
      </w:pPr>
      <w:r>
        <w:rPr>
          <w:rFonts w:ascii="Times New Roman" w:hAnsi="Times New Roman" w:cs="Times New Roman"/>
          <w:b/>
          <w:lang w:val="en-US"/>
        </w:rPr>
        <w:t>Short-term effects:</w:t>
      </w:r>
      <w:r>
        <w:rPr>
          <w:rFonts w:ascii="Times New Roman" w:hAnsi="Times New Roman" w:cs="Times New Roman"/>
          <w:b/>
          <w:lang w:val="ka-GE"/>
        </w:rPr>
        <w:t xml:space="preserve"> </w:t>
      </w:r>
      <w:r>
        <w:rPr>
          <w:rFonts w:ascii="Times New Roman" w:hAnsi="Times New Roman" w:cs="Times New Roman"/>
          <w:lang w:val="en-US"/>
        </w:rPr>
        <w:t xml:space="preserve">Short-term effects are evident during program implementation. The program, possibly, ensures childcare throughout the day and is equitable to preschool programs; therefore the immediate positive effects are gaining profit from saving costs of pre-school care. </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To estimate the profit we used the standard fee of pre-school programs in Georgia, which is 80 GEL a month, i.e. 80GEL/per month X9 = 720 GEL. Since the program span is two years, the current value of the benefit is 1440 GEL equivalent to the alternate cost. Immediate costs for the implementation of the program are also part of the short-term effects. </w:t>
      </w:r>
    </w:p>
    <w:p>
      <w:pPr>
        <w:spacing w:after="0" w:line="240" w:lineRule="auto"/>
        <w:ind w:firstLine="576"/>
        <w:jc w:val="both"/>
        <w:rPr>
          <w:rFonts w:ascii="Times New Roman" w:hAnsi="Times New Roman" w:cs="Times New Roman"/>
          <w:lang w:val="en-US"/>
        </w:rPr>
      </w:pPr>
      <w:r>
        <w:rPr>
          <w:rFonts w:ascii="Times New Roman" w:hAnsi="Times New Roman" w:cs="Times New Roman"/>
          <w:b/>
          <w:lang w:val="en-US"/>
        </w:rPr>
        <w:t>Mid-term effects:</w:t>
      </w:r>
      <w:r>
        <w:rPr>
          <w:rFonts w:ascii="Times New Roman" w:hAnsi="Times New Roman" w:cs="Times New Roman"/>
          <w:b/>
          <w:lang w:val="ka-GE"/>
        </w:rPr>
        <w:t xml:space="preserve"> </w:t>
      </w:r>
      <w:r>
        <w:rPr>
          <w:rFonts w:ascii="Times New Roman" w:hAnsi="Times New Roman" w:cs="Times New Roman"/>
          <w:lang w:val="ka-GE"/>
        </w:rPr>
        <w:t>Mid-term effects are evident during school</w:t>
      </w:r>
      <w:r>
        <w:rPr>
          <w:rFonts w:ascii="Times New Roman" w:hAnsi="Times New Roman" w:cs="Times New Roman"/>
          <w:lang w:val="en-US"/>
        </w:rPr>
        <w:t xml:space="preserve"> period. The biggest impact is economizing funds spend on special education. The program showed to reduce the number of students involved in special education (inclusive) programs by 28%. The program assumes that all children participating in the program would require special education programs in school</w:t>
      </w:r>
      <w:r>
        <w:rPr>
          <w:rFonts w:ascii="Times New Roman" w:hAnsi="Times New Roman" w:cs="Times New Roman"/>
          <w:lang w:val="ka-GE"/>
        </w:rPr>
        <w:t>.</w:t>
      </w:r>
      <w:r>
        <w:rPr>
          <w:rStyle w:val="14"/>
          <w:lang w:val="ka-GE"/>
        </w:rPr>
        <w:footnoteReference w:id="2"/>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According to the National Statistics Bureau of Georgia</w:t>
      </w:r>
      <w:r>
        <w:rPr>
          <w:rFonts w:ascii="Times New Roman" w:hAnsi="Times New Roman" w:cs="Times New Roman"/>
          <w:lang w:val="ka-GE"/>
        </w:rPr>
        <w:t xml:space="preserve">, </w:t>
      </w:r>
      <w:r>
        <w:rPr>
          <w:rFonts w:ascii="Times New Roman" w:hAnsi="Times New Roman" w:cs="Times New Roman"/>
          <w:lang w:val="en-US"/>
        </w:rPr>
        <w:t xml:space="preserve">the number of students enrolled in public schools of Georgia is </w:t>
      </w:r>
      <w:r>
        <w:rPr>
          <w:rFonts w:ascii="Times New Roman" w:hAnsi="Times New Roman" w:cs="Times New Roman"/>
          <w:lang w:val="ka-GE"/>
        </w:rPr>
        <w:t xml:space="preserve"> 559,4 (</w:t>
      </w:r>
      <w:r>
        <w:rPr>
          <w:rFonts w:ascii="Times New Roman" w:hAnsi="Times New Roman" w:cs="Times New Roman"/>
          <w:lang w:val="en-US"/>
        </w:rPr>
        <w:t>thousand</w:t>
      </w:r>
      <w:r>
        <w:rPr>
          <w:rFonts w:ascii="Times New Roman" w:hAnsi="Times New Roman" w:cs="Times New Roman"/>
          <w:lang w:val="ka-GE"/>
        </w:rPr>
        <w:t xml:space="preserve">) </w:t>
      </w:r>
      <w:r>
        <w:rPr>
          <w:rFonts w:ascii="Times New Roman" w:hAnsi="Times New Roman" w:cs="Times New Roman"/>
          <w:lang w:val="en-US"/>
        </w:rPr>
        <w:t>students</w:t>
      </w:r>
      <w:r>
        <w:rPr>
          <w:rStyle w:val="14"/>
          <w:lang w:val="ka-GE"/>
        </w:rPr>
        <w:footnoteReference w:id="3"/>
      </w:r>
      <w:r>
        <w:rPr>
          <w:rFonts w:ascii="Times New Roman" w:hAnsi="Times New Roman" w:cs="Times New Roman"/>
          <w:lang w:val="ka-GE"/>
        </w:rPr>
        <w:t xml:space="preserve">, </w:t>
      </w:r>
      <w:r>
        <w:rPr>
          <w:rFonts w:ascii="Times New Roman" w:hAnsi="Times New Roman" w:cs="Times New Roman"/>
          <w:lang w:val="en-US"/>
        </w:rPr>
        <w:t>according to the ninth article of Georgian law on “2012 State Budget of Georgia”, state spending on secondary education is 397 109,6 (thousand) GEL</w:t>
      </w:r>
      <w:r>
        <w:rPr>
          <w:rStyle w:val="14"/>
          <w:lang w:val="ka-GE"/>
        </w:rPr>
        <w:footnoteReference w:id="4"/>
      </w:r>
      <w:r>
        <w:rPr>
          <w:rFonts w:ascii="Times New Roman" w:hAnsi="Times New Roman" w:cs="Times New Roman"/>
          <w:lang w:val="en-US"/>
        </w:rPr>
        <w:t xml:space="preserve">. According to the data, state spending on general education per student is </w:t>
      </w:r>
      <w:r>
        <w:rPr>
          <w:rFonts w:ascii="Times New Roman" w:hAnsi="Times New Roman" w:cs="Times New Roman"/>
          <w:lang w:val="ka-GE"/>
        </w:rPr>
        <w:t xml:space="preserve">397 109,6/559,4 = 710 </w:t>
      </w:r>
      <w:r>
        <w:rPr>
          <w:rFonts w:ascii="Times New Roman" w:hAnsi="Times New Roman" w:cs="Times New Roman"/>
          <w:lang w:val="en-US"/>
        </w:rPr>
        <w:t xml:space="preserve">GEL. </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According to the United States example, special education financing is three times as much, i.e. 2130 GEL per student. Therefore, the economic effect deriving from the program is </w:t>
      </w:r>
      <w:r>
        <w:rPr>
          <w:rFonts w:ascii="Times New Roman" w:hAnsi="Times New Roman" w:cs="Times New Roman"/>
          <w:lang w:val="ka-GE"/>
        </w:rPr>
        <w:t xml:space="preserve">0,28 * (2130 – 710) = 397,6 </w:t>
      </w:r>
      <w:r>
        <w:rPr>
          <w:rFonts w:ascii="Times New Roman" w:hAnsi="Times New Roman" w:cs="Times New Roman"/>
          <w:lang w:val="en-US"/>
        </w:rPr>
        <w:t xml:space="preserve">GEL per student. </w:t>
      </w:r>
      <w:r>
        <w:rPr>
          <w:rFonts w:ascii="Times New Roman" w:hAnsi="Times New Roman" w:cs="Times New Roman"/>
          <w:lang w:val="ka-GE"/>
        </w:rPr>
        <w:t xml:space="preserve"> </w:t>
      </w:r>
      <w:r>
        <w:rPr>
          <w:rFonts w:ascii="Times New Roman" w:hAnsi="Times New Roman" w:cs="Times New Roman"/>
          <w:lang w:val="en-US"/>
        </w:rPr>
        <w:t>There are other indirect not as essential midterm effects of the program. Carrie mentions reducing additional costs from the repeated year study programs, as well as no need to attend additional after-school study programs.</w:t>
      </w:r>
      <w:r>
        <w:rPr>
          <w:rStyle w:val="14"/>
          <w:lang w:val="ka-GE"/>
        </w:rPr>
        <w:footnoteReference w:id="5"/>
      </w:r>
      <w:r>
        <w:rPr>
          <w:rFonts w:ascii="Times New Roman" w:hAnsi="Times New Roman" w:cs="Times New Roman"/>
          <w:lang w:val="ka-GE"/>
        </w:rPr>
        <w:t xml:space="preserve"> </w:t>
      </w:r>
      <w:r>
        <w:rPr>
          <w:rFonts w:ascii="Times New Roman" w:hAnsi="Times New Roman" w:cs="Times New Roman"/>
          <w:lang w:val="en-US"/>
        </w:rPr>
        <w:t xml:space="preserve">Within the framework of pre-analysis, the benefits of such effects are not worth counting. </w:t>
      </w:r>
    </w:p>
    <w:p>
      <w:pPr>
        <w:spacing w:after="0" w:line="240" w:lineRule="auto"/>
        <w:ind w:firstLine="576"/>
        <w:jc w:val="both"/>
        <w:rPr>
          <w:rFonts w:ascii="Times New Roman" w:hAnsi="Times New Roman" w:cs="Times New Roman"/>
          <w:lang w:val="en-US"/>
        </w:rPr>
      </w:pPr>
      <w:r>
        <w:rPr>
          <w:rFonts w:ascii="Times New Roman" w:hAnsi="Times New Roman" w:cs="Times New Roman"/>
          <w:b/>
          <w:lang w:val="en-US"/>
        </w:rPr>
        <w:t>Long-term effects:</w:t>
      </w:r>
      <w:r>
        <w:rPr>
          <w:rFonts w:ascii="Times New Roman" w:hAnsi="Times New Roman" w:cs="Times New Roman"/>
          <w:b/>
          <w:lang w:val="ka-GE"/>
        </w:rPr>
        <w:t xml:space="preserve"> </w:t>
      </w:r>
      <w:r>
        <w:rPr>
          <w:rFonts w:ascii="Times New Roman" w:hAnsi="Times New Roman" w:cs="Times New Roman"/>
          <w:lang w:val="en-US"/>
        </w:rPr>
        <w:t xml:space="preserve">Long-term effects become evident at a later stage as the program participants mature and sustain throughout their lives. The most essential effects correlate with higher education levels and higher incomes, which is followed by labor productivity, more tax payments and reduction of crime rate. Other long-term effects that may not be as essential and need further research are reduced early pregnancies and medical care costs, and overall improved health of program participants. </w:t>
      </w:r>
    </w:p>
    <w:p>
      <w:pPr>
        <w:spacing w:after="0" w:line="240" w:lineRule="auto"/>
        <w:ind w:firstLine="576"/>
        <w:jc w:val="both"/>
        <w:rPr>
          <w:rFonts w:ascii="Times New Roman" w:hAnsi="Times New Roman" w:cs="Times New Roman"/>
          <w:lang w:val="en-US"/>
        </w:rPr>
      </w:pPr>
      <w:r>
        <w:rPr>
          <w:rFonts w:ascii="Times New Roman" w:hAnsi="Times New Roman" w:cs="Times New Roman"/>
          <w:b/>
          <w:lang w:val="en-US"/>
        </w:rPr>
        <w:t xml:space="preserve">Increase in income rates and work productivity of program participants: </w:t>
      </w:r>
      <w:r>
        <w:rPr>
          <w:rFonts w:ascii="Times New Roman" w:hAnsi="Times New Roman" w:cs="Times New Roman"/>
          <w:lang w:val="en-US"/>
        </w:rPr>
        <w:t xml:space="preserve">Average salary of </w:t>
      </w:r>
      <w:r>
        <w:rPr>
          <w:rFonts w:ascii="Times New Roman" w:hAnsi="Times New Roman" w:cs="Times New Roman"/>
          <w:lang w:val="ka-GE"/>
        </w:rPr>
        <w:t>Perry Preschool</w:t>
      </w:r>
      <w:r>
        <w:rPr>
          <w:rFonts w:ascii="Times New Roman" w:hAnsi="Times New Roman" w:cs="Times New Roman"/>
          <w:lang w:val="en-US"/>
        </w:rPr>
        <w:t xml:space="preserve"> program participants, at 40 years age, was 20,800 USD in a year. While the average salary of the control group member was 15,300 USD. According to the data from</w:t>
      </w:r>
      <w:r>
        <w:rPr>
          <w:rFonts w:ascii="Times New Roman" w:hAnsi="Times New Roman" w:cs="Times New Roman"/>
          <w:lang w:val="ka-GE"/>
        </w:rPr>
        <w:t xml:space="preserve"> U.S. Department of labor</w:t>
      </w:r>
      <w:r>
        <w:rPr>
          <w:rFonts w:ascii="Times New Roman" w:hAnsi="Times New Roman" w:cs="Times New Roman"/>
          <w:lang w:val="en-US"/>
        </w:rPr>
        <w:t xml:space="preserve"> average annual salary per year was 37,000 USD. Based on these data, we can conclude that the program participant has been receiving 56% of the average annual salary (20800/370), while the control group member has been receiving 41% of the average annual salary </w:t>
      </w:r>
      <w:r>
        <w:rPr>
          <w:rFonts w:ascii="Times New Roman" w:hAnsi="Times New Roman" w:cs="Times New Roman"/>
          <w:lang w:val="ka-GE"/>
        </w:rPr>
        <w:t>(15300/370).</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In Georgia, average annual income per capita is 7875 GEL (656 a month).</w:t>
      </w:r>
      <w:r>
        <w:rPr>
          <w:rStyle w:val="14"/>
          <w:lang w:val="ka-GE"/>
        </w:rPr>
        <w:footnoteReference w:id="6"/>
      </w:r>
      <w:r>
        <w:rPr>
          <w:rFonts w:ascii="Times New Roman" w:hAnsi="Times New Roman" w:cs="Times New Roman"/>
          <w:lang w:val="ka-GE"/>
        </w:rPr>
        <w:t xml:space="preserve"> Thus we can estimate that a participant of hypothetical program in Georgia would also receive 56% of the average salary, while a member of the control group will receive 41%.</w:t>
      </w:r>
      <w:r>
        <w:rPr>
          <w:rFonts w:ascii="Times New Roman" w:hAnsi="Times New Roman" w:cs="Times New Roman"/>
          <w:lang w:val="en-US"/>
        </w:rPr>
        <w:t xml:space="preserve"> Annual average salary in Georgia is 7875*56%=4410 (3229). Income tax in Georgia is 20%, so the person would have to pay </w:t>
      </w:r>
      <w:r>
        <w:rPr>
          <w:rFonts w:ascii="Times New Roman" w:hAnsi="Times New Roman" w:cs="Times New Roman"/>
          <w:lang w:val="ka-GE"/>
        </w:rPr>
        <w:t xml:space="preserve"> 4410*0.2= 882 </w:t>
      </w:r>
      <w:r>
        <w:rPr>
          <w:rFonts w:ascii="Times New Roman" w:hAnsi="Times New Roman" w:cs="Times New Roman"/>
          <w:lang w:val="en-US"/>
        </w:rPr>
        <w:t>GEL</w:t>
      </w:r>
      <w:r>
        <w:rPr>
          <w:rFonts w:ascii="Times New Roman" w:hAnsi="Times New Roman" w:cs="Times New Roman"/>
          <w:lang w:val="ka-GE"/>
        </w:rPr>
        <w:t xml:space="preserve"> (3229 *0,2 = 645,8). </w:t>
      </w:r>
      <w:r>
        <w:rPr>
          <w:rFonts w:ascii="Times New Roman" w:hAnsi="Times New Roman" w:cs="Times New Roman"/>
          <w:lang w:val="en-US"/>
        </w:rPr>
        <w:t>Additional income for each program participant is</w:t>
      </w:r>
      <w:r>
        <w:rPr>
          <w:rFonts w:ascii="Times New Roman" w:hAnsi="Times New Roman" w:cs="Times New Roman"/>
          <w:lang w:val="ka-GE"/>
        </w:rPr>
        <w:t xml:space="preserve"> 1181 </w:t>
      </w:r>
      <w:r>
        <w:rPr>
          <w:rFonts w:ascii="Times New Roman" w:hAnsi="Times New Roman" w:cs="Times New Roman"/>
          <w:lang w:val="en-US"/>
        </w:rPr>
        <w:t xml:space="preserve">GEL. To verify the effect of increased work productivity, we will consider annual GDP per person as a value added to the average residence in the workforce. We can assume that work productivity of program participants and control group members will be proportional to the wages.  </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GDP per capital is 5812 GEL</w:t>
      </w:r>
      <w:r>
        <w:rPr>
          <w:rStyle w:val="14"/>
          <w:lang w:val="ka-GE"/>
        </w:rPr>
        <w:footnoteReference w:id="7"/>
      </w:r>
      <w:r>
        <w:rPr>
          <w:rFonts w:ascii="Times New Roman" w:hAnsi="Times New Roman" w:cs="Times New Roman"/>
          <w:lang w:val="ka-GE"/>
        </w:rPr>
        <w:t xml:space="preserve">, </w:t>
      </w:r>
      <w:r>
        <w:rPr>
          <w:rFonts w:ascii="Times New Roman" w:hAnsi="Times New Roman" w:cs="Times New Roman"/>
          <w:lang w:val="en-US"/>
        </w:rPr>
        <w:t xml:space="preserve">let’s deduct annual salary from the total since we already discussed the salary increase effect in the previous clause. Annually an average resident creates additional value in the form of tax  </w:t>
      </w:r>
      <w:r>
        <w:rPr>
          <w:rFonts w:ascii="Times New Roman" w:hAnsi="Times New Roman" w:cs="Times New Roman"/>
          <w:lang w:val="ka-GE"/>
        </w:rPr>
        <w:t xml:space="preserve">5812 - 4875 = 937 </w:t>
      </w:r>
      <w:r>
        <w:rPr>
          <w:rFonts w:ascii="Times New Roman" w:hAnsi="Times New Roman" w:cs="Times New Roman"/>
          <w:lang w:val="en-US"/>
        </w:rPr>
        <w:t xml:space="preserve">GEL. </w:t>
      </w:r>
      <w:r>
        <w:rPr>
          <w:rFonts w:ascii="Times New Roman" w:hAnsi="Times New Roman" w:cs="Times New Roman"/>
          <w:lang w:val="ka-GE"/>
        </w:rPr>
        <w:t xml:space="preserve">  Program participant earned 56%-</w:t>
      </w:r>
      <w:r>
        <w:rPr>
          <w:rFonts w:ascii="Sylfaen" w:hAnsi="Sylfaen" w:cs="Sylfaen"/>
          <w:lang w:val="ka-GE"/>
        </w:rPr>
        <w:t>ს</w:t>
      </w:r>
      <w:r>
        <w:rPr>
          <w:rFonts w:ascii="Times New Roman" w:hAnsi="Times New Roman" w:cs="Times New Roman"/>
          <w:lang w:val="ka-GE"/>
        </w:rPr>
        <w:t xml:space="preserve">, control group member earned  41%.  All future value-added costs offered by the program participant equals 525 GEL.  For the control group this figure is 384. Economic effect equals to 141 GEL. Such estimation is probably exaggerated. </w:t>
      </w:r>
      <w:r>
        <w:rPr>
          <w:rFonts w:ascii="Times New Roman" w:hAnsi="Times New Roman" w:cs="Times New Roman"/>
          <w:lang w:val="en-US"/>
        </w:rPr>
        <w:t>To get more realistic estimations, we could exclude certain articles from the GDP, that are not dependent on the labor productivity (for example, labor share of miners).</w:t>
      </w:r>
      <w:r>
        <w:rPr>
          <w:rFonts w:ascii="Times New Roman" w:hAnsi="Times New Roman" w:cs="Times New Roman"/>
          <w:lang w:val="ka-GE"/>
        </w:rPr>
        <w:t xml:space="preserve"> </w:t>
      </w:r>
      <w:r>
        <w:rPr>
          <w:rFonts w:ascii="Times New Roman" w:hAnsi="Times New Roman" w:cs="Times New Roman"/>
          <w:lang w:val="en-US"/>
        </w:rPr>
        <w:t xml:space="preserve">Clearly there are other types of effects for program participants, though they are less essential compared to the above one. Reduced welfare assistance costs are not as essential as the increased salaries and work productivity. </w:t>
      </w:r>
    </w:p>
    <w:p>
      <w:pPr>
        <w:spacing w:after="0" w:line="240" w:lineRule="auto"/>
        <w:ind w:firstLine="576"/>
        <w:jc w:val="both"/>
        <w:rPr>
          <w:rFonts w:ascii="Times New Roman" w:hAnsi="Times New Roman" w:cs="Times New Roman"/>
          <w:lang w:val="en-US"/>
        </w:rPr>
      </w:pPr>
      <w:r>
        <w:rPr>
          <w:rFonts w:ascii="Times New Roman" w:hAnsi="Times New Roman" w:cs="Times New Roman"/>
          <w:b/>
          <w:lang w:val="en-US"/>
        </w:rPr>
        <w:t>Reduced Crime Rates:</w:t>
      </w:r>
      <w:r>
        <w:rPr>
          <w:rFonts w:ascii="Times New Roman" w:hAnsi="Times New Roman" w:cs="Times New Roman"/>
          <w:b/>
          <w:lang w:val="ka-GE"/>
        </w:rPr>
        <w:t xml:space="preserve"> </w:t>
      </w:r>
      <w:r>
        <w:rPr>
          <w:rFonts w:ascii="Times New Roman" w:hAnsi="Times New Roman" w:cs="Times New Roman"/>
          <w:lang w:val="en-US"/>
        </w:rPr>
        <w:t>We should note that in Georgia it is difficult to measure the costs incurred from the crimes. The scale of cost counting deriving from crimes is very limited in Georgia. In this article we will rely on the information from the United States, which can be adapted to current realities in Georgia using the corrective coefficient due to the differences in the scale of these two countries.</w:t>
      </w:r>
      <w:r>
        <w:rPr>
          <w:rStyle w:val="14"/>
          <w:lang w:val="ka-GE"/>
        </w:rPr>
        <w:footnoteReference w:id="8"/>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 xml:space="preserve">The challenge is that we don’t information on the crime types and respective numbers, whether a program participant committed a crime or a control group member. At the same time we have the information that 55% of the control group members, at the age of 40, have been arrested 5 times in their life span, while the ratio of arrests among the program participants is 36%. Using rough estimates, we can assume that control group member face 55% probability to become “an average” criminal, while the program participants have face 36% of such probability. Realistic nature of this criteria is further supported, but the data showing the program participants under “40 years” that have been arrested once for violence is 32% (42% in a control group), for property theft – 36% (58%). Value gained from the crime reduction from the American program implementation is the 38% of the total benefit of the program. If we apply the same to Georgian reality, we could conclude that value gained from crime reduction is 1754 GEL. </w:t>
      </w:r>
    </w:p>
    <w:p>
      <w:pPr>
        <w:spacing w:after="0" w:line="240" w:lineRule="auto"/>
        <w:ind w:firstLine="576"/>
        <w:jc w:val="both"/>
        <w:rPr>
          <w:rFonts w:ascii="Times New Roman" w:hAnsi="Times New Roman" w:cs="Times New Roman"/>
          <w:lang w:val="en-US"/>
        </w:rPr>
      </w:pPr>
      <w:r>
        <w:rPr>
          <w:rFonts w:ascii="Times New Roman" w:hAnsi="Times New Roman" w:cs="Times New Roman"/>
          <w:b/>
          <w:lang w:val="en-US"/>
        </w:rPr>
        <w:t xml:space="preserve"> Results:  Maximum value of the program. </w:t>
      </w:r>
      <w:r>
        <w:rPr>
          <w:rFonts w:ascii="Times New Roman" w:hAnsi="Times New Roman" w:cs="Times New Roman"/>
          <w:b/>
          <w:lang w:val="ka-GE"/>
        </w:rPr>
        <w:t xml:space="preserve"> </w:t>
      </w:r>
      <w:r>
        <w:rPr>
          <w:rFonts w:ascii="Times New Roman" w:hAnsi="Times New Roman" w:cs="Times New Roman"/>
          <w:lang w:val="ka-GE"/>
        </w:rPr>
        <w:t>Cumulative benefits of the hypothetical Georgian program to American High/Scope analogy with rough estimations is the following  4614 (1181 + 398 + 1140 + 141 + 1754) GEL per program participant.</w:t>
      </w:r>
      <w:r>
        <w:rPr>
          <w:rFonts w:ascii="Times New Roman" w:hAnsi="Times New Roman" w:cs="Times New Roman"/>
          <w:lang w:val="en-US"/>
        </w:rPr>
        <w:t xml:space="preserve"> With the assumption that current value of benefit is equal to current costs of the program implementation, we should note that the cost  of the program per child should not exceed 3570 GEL. Is this amount sufficient for the implementation of the program? This amount exceeds 1.7 times the total value of general education (from 1</w:t>
      </w:r>
      <w:r>
        <w:rPr>
          <w:rFonts w:ascii="Times New Roman" w:hAnsi="Times New Roman" w:cs="Times New Roman"/>
          <w:vertAlign w:val="superscript"/>
          <w:lang w:val="en-US"/>
        </w:rPr>
        <w:t>st</w:t>
      </w:r>
      <w:r>
        <w:rPr>
          <w:rFonts w:ascii="Times New Roman" w:hAnsi="Times New Roman" w:cs="Times New Roman"/>
          <w:lang w:val="en-US"/>
        </w:rPr>
        <w:t xml:space="preserve"> to 9</w:t>
      </w:r>
      <w:r>
        <w:rPr>
          <w:rFonts w:ascii="Times New Roman" w:hAnsi="Times New Roman" w:cs="Times New Roman"/>
          <w:vertAlign w:val="superscript"/>
          <w:lang w:val="en-US"/>
        </w:rPr>
        <w:t>th</w:t>
      </w:r>
      <w:r>
        <w:rPr>
          <w:rFonts w:ascii="Times New Roman" w:hAnsi="Times New Roman" w:cs="Times New Roman"/>
          <w:lang w:val="en-US"/>
        </w:rPr>
        <w:t xml:space="preserve"> grade). It is 2.4 times more than the annual cost of preschool care in Georgia. We can assume that such program will have lower implementation costs and it will be beneficial for the economy of Georgia. Clearly, this is only initial estimation. The analysis relied on many rough assumptions/estimates:</w:t>
      </w:r>
    </w:p>
    <w:p>
      <w:pPr>
        <w:pStyle w:val="25"/>
        <w:numPr>
          <w:ilvl w:val="0"/>
          <w:numId w:val="18"/>
        </w:numPr>
        <w:spacing w:after="0" w:line="240" w:lineRule="auto"/>
        <w:ind w:left="0"/>
        <w:contextualSpacing w:val="0"/>
        <w:jc w:val="both"/>
        <w:rPr>
          <w:rFonts w:ascii="Times New Roman" w:hAnsi="Times New Roman" w:cs="Times New Roman"/>
          <w:lang w:val="ka-GE"/>
        </w:rPr>
      </w:pPr>
      <w:r>
        <w:rPr>
          <w:rFonts w:ascii="Times New Roman" w:hAnsi="Times New Roman" w:cs="Times New Roman"/>
          <w:lang w:val="en-US"/>
        </w:rPr>
        <w:t xml:space="preserve">Baseline data assumptions, since Georgia lacks necessary data for such research. Accurate ‘cost-benefit” analysis was conducted after 40 years of program implementation and observation on program participants. There is no such experience in Georgia. Thus, using the outcomes as surrogates is necessary in Schweinhart’s analysis (Schweinhart 2005). </w:t>
      </w:r>
    </w:p>
    <w:p>
      <w:pPr>
        <w:pStyle w:val="25"/>
        <w:numPr>
          <w:ilvl w:val="0"/>
          <w:numId w:val="18"/>
        </w:numPr>
        <w:spacing w:after="0" w:line="240" w:lineRule="auto"/>
        <w:ind w:left="0"/>
        <w:contextualSpacing w:val="0"/>
        <w:jc w:val="both"/>
        <w:rPr>
          <w:rFonts w:ascii="Times New Roman" w:hAnsi="Times New Roman" w:cs="Times New Roman"/>
          <w:lang w:val="ka-GE"/>
        </w:rPr>
      </w:pPr>
      <w:r>
        <w:rPr>
          <w:rFonts w:ascii="Times New Roman" w:hAnsi="Times New Roman" w:cs="Times New Roman"/>
          <w:lang w:val="en-US"/>
        </w:rPr>
        <w:t xml:space="preserve">From the program outcomes, the highest ratio of impact falls on the higher profit from increased work productivity of program participants and reduced crime rates. We could say that increase in work productivity is not ideal, but it’s quite realistic. Reduction of crime still needs more accurate analysis, for which we need data on the damage caused by the crimes. This is one of the crucial factors in conducting “cost-benefit analysis” for a social project lie this. It is regrettably so, that this field is not well developed in Georgia and thus the use of method becomes less realistic. </w:t>
      </w:r>
    </w:p>
    <w:p>
      <w:pPr>
        <w:spacing w:after="0" w:line="240" w:lineRule="auto"/>
        <w:ind w:firstLine="576"/>
        <w:jc w:val="both"/>
        <w:rPr>
          <w:rFonts w:ascii="Times New Roman" w:hAnsi="Times New Roman" w:cs="Times New Roman"/>
          <w:lang w:val="en-US"/>
        </w:rPr>
      </w:pPr>
      <w:r>
        <w:rPr>
          <w:rFonts w:ascii="Times New Roman" w:hAnsi="Times New Roman" w:cs="Times New Roman"/>
          <w:lang w:val="en-US"/>
        </w:rPr>
        <w:t>The goal of the research is to confirm that it is possible to implement the program similar to the US program in Georgia. Considering some of the risk factors in Georgia, such as inappropriate spending, we can assume that investment put towards the children of economically vulnerable families will not be as sustainable as in the United States. However the US research indicates that investments in this field bring certain social and economic gains. As for the use of CBA: cost-benefit analysis in general it is doubtless that use of CBA can improve the efficient use of limited financial resources to support social welfare.</w:t>
      </w:r>
    </w:p>
    <w:p>
      <w:pPr>
        <w:autoSpaceDE w:val="0"/>
        <w:spacing w:after="0" w:line="360" w:lineRule="auto"/>
        <w:jc w:val="both"/>
        <w:rPr>
          <w:rFonts w:ascii="Times New Roman" w:hAnsi="Times New Roman" w:eastAsia="Calibri" w:cs="Times New Roman"/>
          <w:color w:val="000000"/>
          <w:sz w:val="28"/>
          <w:szCs w:val="28"/>
          <w:shd w:val="clear" w:color="auto" w:fill="FFFFFF"/>
          <w:lang w:val="en-US"/>
        </w:rPr>
      </w:pPr>
    </w:p>
    <w:sectPr>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CC"/>
    <w:family w:val="roman"/>
    <w:pitch w:val="default"/>
    <w:sig w:usb0="E00002FF" w:usb1="400004FF" w:usb2="00000000" w:usb3="00000000" w:csb0="2000019F" w:csb1="00000000"/>
  </w:font>
  <w:font w:name="Calibri Light">
    <w:panose1 w:val="020F0302020204030204"/>
    <w:charset w:val="CC"/>
    <w:family w:val="swiss"/>
    <w:pitch w:val="default"/>
    <w:sig w:usb0="A00002EF" w:usb1="4000207B" w:usb2="00000000" w:usb3="00000000" w:csb0="2000019F" w:csb1="00000000"/>
  </w:font>
  <w:font w:name="Tahoma">
    <w:panose1 w:val="020B0604030504040204"/>
    <w:charset w:val="CC"/>
    <w:family w:val="swiss"/>
    <w:pitch w:val="default"/>
    <w:sig w:usb0="E1002EFF" w:usb1="C000605B" w:usb2="00000029" w:usb3="00000000" w:csb0="200101FF" w:csb1="20280000"/>
  </w:font>
  <w:font w:name="Segoe UI">
    <w:panose1 w:val="020B0502040204020203"/>
    <w:charset w:val="CC"/>
    <w:family w:val="swiss"/>
    <w:pitch w:val="default"/>
    <w:sig w:usb0="E4002EFF" w:usb1="C000E47F" w:usb2="00000009" w:usb3="00000000" w:csb0="200001FF" w:csb1="00000000"/>
  </w:font>
  <w:font w:name="Courier New">
    <w:panose1 w:val="02070309020205020404"/>
    <w:charset w:val="CC"/>
    <w:family w:val="modern"/>
    <w:pitch w:val="default"/>
    <w:sig w:usb0="E0002AFF" w:usb1="C0007843" w:usb2="00000009" w:usb3="00000000" w:csb0="400001FF" w:csb1="FFFF0000"/>
  </w:font>
  <w:font w:name="Cambria Math">
    <w:panose1 w:val="02040503050406030204"/>
    <w:charset w:val="CC"/>
    <w:family w:val="roman"/>
    <w:pitch w:val="default"/>
    <w:sig w:usb0="E00002FF" w:usb1="420024FF" w:usb2="00000000" w:usb3="00000000" w:csb0="2000019F" w:csb1="00000000"/>
  </w:font>
  <w:font w:name="Georgia">
    <w:panose1 w:val="02040502050405020303"/>
    <w:charset w:val="CC"/>
    <w:family w:val="roman"/>
    <w:pitch w:val="default"/>
    <w:sig w:usb0="00000287" w:usb1="00000000" w:usb2="00000000" w:usb3="00000000" w:csb0="2000009F" w:csb1="00000000"/>
  </w:font>
  <w:font w:name="Arial">
    <w:panose1 w:val="020B0604020202020204"/>
    <w:charset w:val="CC"/>
    <w:family w:val="swiss"/>
    <w:pitch w:val="default"/>
    <w:sig w:usb0="E0002AFF" w:usb1="C0007843" w:usb2="00000009" w:usb3="00000000" w:csb0="400001FF" w:csb1="FFFF0000"/>
  </w:font>
  <w:font w:name="Times New Roman CYR">
    <w:altName w:val="Times New Roman"/>
    <w:panose1 w:val="02020603050405020304"/>
    <w:charset w:val="CC"/>
    <w:family w:val="roman"/>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TimesNewRomanPSMT">
    <w:altName w:val="MS Mincho"/>
    <w:panose1 w:val="00000000000000000000"/>
    <w:charset w:val="80"/>
    <w:family w:val="auto"/>
    <w:pitch w:val="default"/>
    <w:sig w:usb0="00000000" w:usb1="00000000" w:usb2="00000010" w:usb3="00000000" w:csb0="00020005" w:csb1="00000000"/>
  </w:font>
  <w:font w:name="PMingLiU">
    <w:panose1 w:val="02020500000000000000"/>
    <w:charset w:val="88"/>
    <w:family w:val="auto"/>
    <w:pitch w:val="default"/>
    <w:sig w:usb0="A00002FF" w:usb1="28CFFCFA" w:usb2="00000016" w:usb3="00000000" w:csb0="00100001" w:csb1="00000000"/>
  </w:font>
  <w:font w:name="Sylfaen">
    <w:panose1 w:val="010A0502050306030303"/>
    <w:charset w:val="CC"/>
    <w:family w:val="roman"/>
    <w:pitch w:val="default"/>
    <w:sig w:usb0="04000687" w:usb1="00000000" w:usb2="00000000" w:usb3="00000000" w:csb0="2000009F" w:csb1="00000000"/>
  </w:font>
  <w:font w:name="BPGGlahoMix">
    <w:altName w:val="Times New Roman"/>
    <w:panose1 w:val="00000000000000000000"/>
    <w:charset w:val="00"/>
    <w:family w:val="auto"/>
    <w:pitch w:val="default"/>
    <w:sig w:usb0="00000000" w:usb1="00000000" w:usb2="00000000" w:usb3="00000000" w:csb0="00000001" w:csb1="00000000"/>
  </w:font>
  <w:font w:name="Calibri Light">
    <w:panose1 w:val="020F0302020204030204"/>
    <w:charset w:val="00"/>
    <w:family w:val="auto"/>
    <w:pitch w:val="default"/>
    <w:sig w:usb0="A00002EF" w:usb1="4000207B" w:usb2="00000000" w:usb3="00000000" w:csb0="2000019F" w:csb1="00000000"/>
  </w:font>
  <w:font w:name="Cambria Math">
    <w:panose1 w:val="02040503050406030204"/>
    <w:charset w:val="00"/>
    <w:family w:val="auto"/>
    <w:pitch w:val="default"/>
    <w:sig w:usb0="E00002FF" w:usb1="420024FF" w:usb2="00000000" w:usb3="00000000" w:csb0="2000019F" w:csb1="00000000"/>
  </w:font>
  <w:font w:name="MS Mincho">
    <w:panose1 w:val="020206090402050803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6"/>
      </w:pPr>
      <w:r>
        <w:rPr>
          <w:rStyle w:val="14"/>
        </w:rPr>
        <w:footnoteRef/>
      </w:r>
      <w:r>
        <w:rPr>
          <w:rFonts w:ascii="Sylfaen" w:hAnsi="Sylfaen" w:cs="BPGGlahoMix"/>
          <w:sz w:val="18"/>
          <w:szCs w:val="18"/>
          <w:lang w:val="ka-GE"/>
        </w:rPr>
        <w:t>The Network of Institutes and Schools of Public Administration in Central and Eastern (NISPAcee) and The National Association of Local Authorities of Georgia (NALAG(NALAG). 2012</w:t>
      </w:r>
      <w:r>
        <w:rPr>
          <w:rFonts w:ascii="Sylfaen" w:hAnsi="Sylfaen" w:cs="BPGGlahoMix"/>
          <w:sz w:val="18"/>
          <w:szCs w:val="18"/>
        </w:rPr>
        <w:t xml:space="preserve"> “Managing public investments at municipal level”. Guide for local municipality public officers</w:t>
      </w:r>
      <w:r>
        <w:rPr>
          <w:rFonts w:ascii="Sylfaen" w:hAnsi="Sylfaen" w:cs="BPGGlahoMix"/>
          <w:sz w:val="18"/>
          <w:szCs w:val="18"/>
          <w:lang w:val="ka-GE"/>
        </w:rPr>
        <w:t>.</w:t>
      </w:r>
      <w:r>
        <w:rPr>
          <w:rFonts w:ascii="Sylfaen" w:hAnsi="Sylfaen" w:cs="BPGGlahoMix"/>
          <w:sz w:val="18"/>
          <w:szCs w:val="18"/>
        </w:rPr>
        <w:t xml:space="preserve"> Tbilisi. Pg.</w:t>
      </w:r>
      <w:r>
        <w:rPr>
          <w:rFonts w:ascii="Sylfaen" w:hAnsi="Sylfaen" w:cs="BPGGlahoMix"/>
          <w:sz w:val="18"/>
          <w:szCs w:val="18"/>
          <w:lang w:val="ka-GE"/>
        </w:rPr>
        <w:t xml:space="preserve"> </w:t>
      </w:r>
      <w:r>
        <w:rPr>
          <w:rFonts w:ascii="Sylfaen" w:hAnsi="Sylfaen" w:cs="BPGGlahoMix"/>
          <w:sz w:val="18"/>
          <w:szCs w:val="18"/>
        </w:rPr>
        <w:t xml:space="preserve">18-24 </w:t>
      </w:r>
    </w:p>
  </w:footnote>
  <w:footnote w:id="1">
    <w:p>
      <w:pPr>
        <w:pStyle w:val="6"/>
        <w:rPr>
          <w:lang w:val="pl-PL"/>
        </w:rPr>
      </w:pPr>
      <w:r>
        <w:rPr>
          <w:rStyle w:val="14"/>
          <w:sz w:val="18"/>
          <w:szCs w:val="18"/>
        </w:rPr>
        <w:footnoteRef/>
      </w:r>
      <w:r>
        <w:rPr>
          <w:rFonts w:ascii="Times New Roman" w:hAnsi="Times New Roman"/>
          <w:sz w:val="18"/>
          <w:szCs w:val="18"/>
          <w:lang w:val="ka-GE"/>
        </w:rPr>
        <w:t>Schweinhart L.J., Montey J., Xiang Z., Barnet W.S., belfield C.R., Nores M., 2005. Lifitame effects: The High/Scope Perry Pre</w:t>
      </w:r>
      <w:r>
        <w:rPr>
          <w:rFonts w:ascii="Times New Roman" w:hAnsi="Times New Roman"/>
          <w:sz w:val="18"/>
          <w:szCs w:val="18"/>
        </w:rPr>
        <w:t xml:space="preserve">school Study through age 40. </w:t>
      </w:r>
      <w:r>
        <w:rPr>
          <w:rFonts w:ascii="Times New Roman" w:hAnsi="Times New Roman"/>
          <w:sz w:val="18"/>
          <w:szCs w:val="18"/>
          <w:lang w:val="pl-PL"/>
        </w:rPr>
        <w:t xml:space="preserve">Ypsilamti, MI </w:t>
      </w:r>
    </w:p>
  </w:footnote>
  <w:footnote w:id="2">
    <w:p>
      <w:pPr>
        <w:pStyle w:val="6"/>
        <w:rPr>
          <w:lang w:val="pl-PL"/>
        </w:rPr>
      </w:pPr>
      <w:r>
        <w:rPr>
          <w:rStyle w:val="14"/>
          <w:sz w:val="18"/>
          <w:szCs w:val="18"/>
        </w:rPr>
        <w:footnoteRef/>
      </w:r>
      <w:r>
        <w:rPr>
          <w:rFonts w:ascii="Sylfaen" w:hAnsi="Sylfaen" w:cs="BPGGlahoMix"/>
          <w:sz w:val="18"/>
          <w:szCs w:val="18"/>
          <w:lang w:val="pl-PL"/>
        </w:rPr>
        <w:t>www.geostat.ge</w:t>
      </w:r>
    </w:p>
  </w:footnote>
  <w:footnote w:id="3">
    <w:p>
      <w:pPr>
        <w:tabs>
          <w:tab w:val="left" w:pos="284"/>
          <w:tab w:val="left" w:pos="426"/>
        </w:tabs>
        <w:autoSpaceDE w:val="0"/>
        <w:autoSpaceDN w:val="0"/>
        <w:adjustRightInd w:val="0"/>
        <w:spacing w:after="0" w:line="240" w:lineRule="auto"/>
        <w:jc w:val="both"/>
        <w:rPr>
          <w:lang w:val="pl-PL"/>
        </w:rPr>
      </w:pPr>
      <w:r>
        <w:rPr>
          <w:rStyle w:val="14"/>
          <w:sz w:val="18"/>
          <w:szCs w:val="18"/>
        </w:rPr>
        <w:footnoteRef/>
      </w:r>
      <w:r>
        <w:rPr>
          <w:rFonts w:ascii="Sylfaen" w:hAnsi="Sylfaen" w:cs="BPGGlahoMix"/>
          <w:sz w:val="18"/>
          <w:szCs w:val="18"/>
          <w:lang w:val="pl-PL"/>
        </w:rPr>
        <w:t xml:space="preserve">www.geostat.ge </w:t>
      </w:r>
    </w:p>
  </w:footnote>
  <w:footnote w:id="4">
    <w:p>
      <w:pPr>
        <w:pStyle w:val="6"/>
        <w:rPr>
          <w:lang w:val="pl-PL"/>
        </w:rPr>
      </w:pPr>
      <w:r>
        <w:rPr>
          <w:rStyle w:val="14"/>
        </w:rPr>
        <w:footnoteRef/>
      </w:r>
      <w:r>
        <w:rPr>
          <w:rFonts w:ascii="Times New Roman" w:hAnsi="Times New Roman"/>
          <w:sz w:val="18"/>
          <w:szCs w:val="18"/>
          <w:lang w:val="ka-GE"/>
        </w:rPr>
        <w:t>http://www.mof.ge/common/get_doc.aspx?doc_id=8725 -</w:t>
      </w:r>
    </w:p>
  </w:footnote>
  <w:footnote w:id="5">
    <w:p>
      <w:pPr>
        <w:pStyle w:val="6"/>
        <w:rPr>
          <w:lang w:val="ru-RU"/>
        </w:rPr>
      </w:pPr>
      <w:r>
        <w:rPr>
          <w:rStyle w:val="14"/>
          <w:sz w:val="18"/>
          <w:szCs w:val="18"/>
        </w:rPr>
        <w:footnoteRef/>
      </w:r>
      <w:r>
        <w:rPr>
          <w:rFonts w:ascii="Times New Roman" w:hAnsi="Times New Roman"/>
          <w:sz w:val="18"/>
          <w:szCs w:val="18"/>
          <w:lang w:val="ka-GE"/>
        </w:rPr>
        <w:t>Currie J. Early Childhood Education Programs.//Journal of Economic Perspectives. 2001.)</w:t>
      </w:r>
    </w:p>
  </w:footnote>
  <w:footnote w:id="6">
    <w:p>
      <w:pPr>
        <w:tabs>
          <w:tab w:val="left" w:pos="284"/>
          <w:tab w:val="left" w:pos="426"/>
        </w:tabs>
        <w:autoSpaceDE w:val="0"/>
        <w:autoSpaceDN w:val="0"/>
        <w:adjustRightInd w:val="0"/>
        <w:spacing w:after="0" w:line="240" w:lineRule="auto"/>
        <w:jc w:val="both"/>
      </w:pPr>
      <w:r>
        <w:rPr>
          <w:rStyle w:val="14"/>
        </w:rPr>
        <w:footnoteRef/>
      </w:r>
      <w:r>
        <w:rPr>
          <w:rFonts w:ascii="Sylfaen" w:hAnsi="Sylfaen" w:cs="BPGGlahoMix"/>
          <w:sz w:val="18"/>
          <w:szCs w:val="18"/>
          <w:lang w:val="ka-GE"/>
        </w:rPr>
        <w:t xml:space="preserve">www.geostat.ge </w:t>
      </w:r>
    </w:p>
  </w:footnote>
  <w:footnote w:id="7">
    <w:p>
      <w:pPr>
        <w:pStyle w:val="6"/>
        <w:rPr>
          <w:lang w:val="ru-RU"/>
        </w:rPr>
      </w:pPr>
      <w:r>
        <w:rPr>
          <w:rStyle w:val="14"/>
        </w:rPr>
        <w:footnoteRef/>
      </w:r>
      <w:r>
        <w:rPr>
          <w:rFonts w:ascii="Sylfaen" w:hAnsi="Sylfaen" w:cs="BPGGlahoMix"/>
          <w:sz w:val="18"/>
          <w:szCs w:val="18"/>
          <w:lang w:val="ka-GE"/>
        </w:rPr>
        <w:t>www.geostat.ge</w:t>
      </w:r>
    </w:p>
  </w:footnote>
  <w:footnote w:id="8">
    <w:p>
      <w:pPr>
        <w:pStyle w:val="6"/>
        <w:rPr>
          <w:lang w:val="ru-RU"/>
        </w:rPr>
      </w:pPr>
      <w:r>
        <w:rPr>
          <w:rStyle w:val="14"/>
        </w:rPr>
        <w:footnoteRef/>
      </w:r>
      <w:r>
        <w:rPr>
          <w:rFonts w:ascii="Times New Roman" w:hAnsi="Times New Roman"/>
          <w:sz w:val="18"/>
          <w:szCs w:val="18"/>
          <w:lang w:val="ka-GE"/>
        </w:rPr>
        <w:t>Сурков А. В. 2008. ,,О возможностях анализа ,,затраты-выгоды,, на примере инвестиции в развитиу детей из неблагоприятных семей в России http://finbiz.spb.ru/download/2_2008_surkov.pdf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21px;height:25px" o:bullet="t">
        <v:imagedata r:id="rId1" o:title=""/>
      </v:shape>
    </w:pict>
  </w:numPicBullet>
  <w:abstractNum w:abstractNumId="0">
    <w:nsid w:val="049D2C72"/>
    <w:multiLevelType w:val="multilevel"/>
    <w:tmpl w:val="049D2C72"/>
    <w:lvl w:ilvl="0" w:tentative="0">
      <w:start w:val="1"/>
      <w:numFmt w:val="bullet"/>
      <w:lvlText w:val="-"/>
      <w:lvlJc w:val="left"/>
      <w:pPr>
        <w:ind w:left="1400" w:hanging="360"/>
      </w:pPr>
      <w:rPr>
        <w:rFonts w:hint="default" w:ascii="Times New Roman" w:hAnsi="Times New Roman" w:cs="Times New Roman"/>
        <w:color w:val="auto"/>
      </w:rPr>
    </w:lvl>
    <w:lvl w:ilvl="1" w:tentative="0">
      <w:start w:val="1"/>
      <w:numFmt w:val="bullet"/>
      <w:lvlText w:val="o"/>
      <w:lvlJc w:val="left"/>
      <w:pPr>
        <w:ind w:left="2120" w:hanging="360"/>
      </w:pPr>
      <w:rPr>
        <w:rFonts w:hint="default" w:ascii="Courier New" w:hAnsi="Courier New" w:cs="Courier New"/>
      </w:rPr>
    </w:lvl>
    <w:lvl w:ilvl="2" w:tentative="0">
      <w:start w:val="1"/>
      <w:numFmt w:val="bullet"/>
      <w:lvlText w:val=""/>
      <w:lvlJc w:val="left"/>
      <w:pPr>
        <w:ind w:left="2840" w:hanging="360"/>
      </w:pPr>
      <w:rPr>
        <w:rFonts w:hint="default" w:ascii="Wingdings" w:hAnsi="Wingdings"/>
      </w:rPr>
    </w:lvl>
    <w:lvl w:ilvl="3" w:tentative="0">
      <w:start w:val="1"/>
      <w:numFmt w:val="bullet"/>
      <w:lvlText w:val=""/>
      <w:lvlJc w:val="left"/>
      <w:pPr>
        <w:ind w:left="3560" w:hanging="360"/>
      </w:pPr>
      <w:rPr>
        <w:rFonts w:hint="default" w:ascii="Symbol" w:hAnsi="Symbol"/>
      </w:rPr>
    </w:lvl>
    <w:lvl w:ilvl="4" w:tentative="0">
      <w:start w:val="1"/>
      <w:numFmt w:val="bullet"/>
      <w:lvlText w:val="o"/>
      <w:lvlJc w:val="left"/>
      <w:pPr>
        <w:ind w:left="4280" w:hanging="360"/>
      </w:pPr>
      <w:rPr>
        <w:rFonts w:hint="default" w:ascii="Courier New" w:hAnsi="Courier New" w:cs="Courier New"/>
      </w:rPr>
    </w:lvl>
    <w:lvl w:ilvl="5" w:tentative="0">
      <w:start w:val="1"/>
      <w:numFmt w:val="bullet"/>
      <w:lvlText w:val=""/>
      <w:lvlJc w:val="left"/>
      <w:pPr>
        <w:ind w:left="5000" w:hanging="360"/>
      </w:pPr>
      <w:rPr>
        <w:rFonts w:hint="default" w:ascii="Wingdings" w:hAnsi="Wingdings"/>
      </w:rPr>
    </w:lvl>
    <w:lvl w:ilvl="6" w:tentative="0">
      <w:start w:val="1"/>
      <w:numFmt w:val="bullet"/>
      <w:lvlText w:val=""/>
      <w:lvlJc w:val="left"/>
      <w:pPr>
        <w:ind w:left="5720" w:hanging="360"/>
      </w:pPr>
      <w:rPr>
        <w:rFonts w:hint="default" w:ascii="Symbol" w:hAnsi="Symbol"/>
      </w:rPr>
    </w:lvl>
    <w:lvl w:ilvl="7" w:tentative="0">
      <w:start w:val="1"/>
      <w:numFmt w:val="bullet"/>
      <w:lvlText w:val="o"/>
      <w:lvlJc w:val="left"/>
      <w:pPr>
        <w:ind w:left="6440" w:hanging="360"/>
      </w:pPr>
      <w:rPr>
        <w:rFonts w:hint="default" w:ascii="Courier New" w:hAnsi="Courier New" w:cs="Courier New"/>
      </w:rPr>
    </w:lvl>
    <w:lvl w:ilvl="8" w:tentative="0">
      <w:start w:val="1"/>
      <w:numFmt w:val="bullet"/>
      <w:lvlText w:val=""/>
      <w:lvlJc w:val="left"/>
      <w:pPr>
        <w:ind w:left="7160" w:hanging="360"/>
      </w:pPr>
      <w:rPr>
        <w:rFonts w:hint="default" w:ascii="Wingdings" w:hAnsi="Wingdings"/>
      </w:rPr>
    </w:lvl>
  </w:abstractNum>
  <w:abstractNum w:abstractNumId="1">
    <w:nsid w:val="055F4DAD"/>
    <w:multiLevelType w:val="multilevel"/>
    <w:tmpl w:val="055F4DA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116A34FF"/>
    <w:multiLevelType w:val="multilevel"/>
    <w:tmpl w:val="116A34FF"/>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
    <w:nsid w:val="11A52612"/>
    <w:multiLevelType w:val="multilevel"/>
    <w:tmpl w:val="11A5261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Times New Roman"/>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Times New Roman"/>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Times New Roman"/>
      </w:rPr>
    </w:lvl>
    <w:lvl w:ilvl="8" w:tentative="0">
      <w:start w:val="1"/>
      <w:numFmt w:val="bullet"/>
      <w:lvlText w:val=""/>
      <w:lvlJc w:val="left"/>
      <w:pPr>
        <w:ind w:left="6120" w:hanging="360"/>
      </w:pPr>
      <w:rPr>
        <w:rFonts w:hint="default" w:ascii="Wingdings" w:hAnsi="Wingdings"/>
      </w:rPr>
    </w:lvl>
  </w:abstractNum>
  <w:abstractNum w:abstractNumId="4">
    <w:nsid w:val="1E9336C9"/>
    <w:multiLevelType w:val="multilevel"/>
    <w:tmpl w:val="1E9336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0642B2A"/>
    <w:multiLevelType w:val="multilevel"/>
    <w:tmpl w:val="30642B2A"/>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3371273"/>
    <w:multiLevelType w:val="multilevel"/>
    <w:tmpl w:val="33371273"/>
    <w:lvl w:ilvl="0" w:tentative="0">
      <w:start w:val="1"/>
      <w:numFmt w:val="decimal"/>
      <w:lvlText w:val="%1)"/>
      <w:lvlJc w:val="left"/>
      <w:pPr>
        <w:ind w:left="1211" w:hanging="360"/>
      </w:pPr>
      <w:rPr>
        <w:rFonts w:ascii="Times New Roman" w:hAnsi="Times New Roman" w:eastAsia="Times New Roman" w:cs="Times New Roman"/>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7">
    <w:nsid w:val="396E772F"/>
    <w:multiLevelType w:val="multilevel"/>
    <w:tmpl w:val="396E772F"/>
    <w:lvl w:ilvl="0" w:tentative="0">
      <w:start w:val="1"/>
      <w:numFmt w:val="decimal"/>
      <w:lvlText w:val="%1)"/>
      <w:lvlJc w:val="left"/>
      <w:pPr>
        <w:ind w:left="720" w:hanging="360"/>
      </w:pPr>
      <w:rPr>
        <w:rFonts w:hint="default" w:eastAsiaTheme="minorHAnsi" w:cstheme="minorBidi"/>
        <w:color w:val="000000" w:themeColor="text1"/>
        <w:sz w:val="28"/>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0DE4827"/>
    <w:multiLevelType w:val="multilevel"/>
    <w:tmpl w:val="40DE4827"/>
    <w:lvl w:ilvl="0" w:tentative="0">
      <w:start w:val="1"/>
      <w:numFmt w:val="decimal"/>
      <w:lvlText w:val="%1."/>
      <w:lvlJc w:val="left"/>
      <w:pPr>
        <w:ind w:left="928"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40E24D4A"/>
    <w:multiLevelType w:val="multilevel"/>
    <w:tmpl w:val="40E24D4A"/>
    <w:lvl w:ilvl="0" w:tentative="0">
      <w:start w:val="1"/>
      <w:numFmt w:val="decimal"/>
      <w:lvlText w:val="%1."/>
      <w:lvlJc w:val="left"/>
      <w:pPr>
        <w:ind w:left="720" w:hanging="360"/>
      </w:pPr>
      <w:rPr>
        <w:sz w:val="28"/>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41D374CB"/>
    <w:multiLevelType w:val="multilevel"/>
    <w:tmpl w:val="41D374C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47E97BBD"/>
    <w:multiLevelType w:val="multilevel"/>
    <w:tmpl w:val="47E97BBD"/>
    <w:lvl w:ilvl="0" w:tentative="0">
      <w:start w:val="1"/>
      <w:numFmt w:val="decimal"/>
      <w:lvlText w:val="%1."/>
      <w:lvlJc w:val="left"/>
      <w:pPr>
        <w:ind w:left="1429" w:hanging="360"/>
      </w:pPr>
      <w:rPr>
        <w:rFonts w:cs="Times New Roman"/>
      </w:rPr>
    </w:lvl>
    <w:lvl w:ilvl="1" w:tentative="0">
      <w:start w:val="1"/>
      <w:numFmt w:val="lowerLetter"/>
      <w:lvlText w:val="%2."/>
      <w:lvlJc w:val="left"/>
      <w:pPr>
        <w:ind w:left="2149" w:hanging="360"/>
      </w:pPr>
      <w:rPr>
        <w:rFonts w:cs="Times New Roman"/>
      </w:rPr>
    </w:lvl>
    <w:lvl w:ilvl="2" w:tentative="0">
      <w:start w:val="1"/>
      <w:numFmt w:val="lowerRoman"/>
      <w:lvlText w:val="%3."/>
      <w:lvlJc w:val="right"/>
      <w:pPr>
        <w:ind w:left="2869" w:hanging="180"/>
      </w:pPr>
      <w:rPr>
        <w:rFonts w:cs="Times New Roman"/>
      </w:rPr>
    </w:lvl>
    <w:lvl w:ilvl="3" w:tentative="0">
      <w:start w:val="1"/>
      <w:numFmt w:val="decimal"/>
      <w:lvlText w:val="%4."/>
      <w:lvlJc w:val="left"/>
      <w:pPr>
        <w:ind w:left="3589" w:hanging="360"/>
      </w:pPr>
      <w:rPr>
        <w:rFonts w:cs="Times New Roman"/>
      </w:rPr>
    </w:lvl>
    <w:lvl w:ilvl="4" w:tentative="0">
      <w:start w:val="1"/>
      <w:numFmt w:val="lowerLetter"/>
      <w:lvlText w:val="%5."/>
      <w:lvlJc w:val="left"/>
      <w:pPr>
        <w:ind w:left="4309" w:hanging="360"/>
      </w:pPr>
      <w:rPr>
        <w:rFonts w:cs="Times New Roman"/>
      </w:rPr>
    </w:lvl>
    <w:lvl w:ilvl="5" w:tentative="0">
      <w:start w:val="1"/>
      <w:numFmt w:val="lowerRoman"/>
      <w:lvlText w:val="%6."/>
      <w:lvlJc w:val="right"/>
      <w:pPr>
        <w:ind w:left="5029" w:hanging="180"/>
      </w:pPr>
      <w:rPr>
        <w:rFonts w:cs="Times New Roman"/>
      </w:rPr>
    </w:lvl>
    <w:lvl w:ilvl="6" w:tentative="0">
      <w:start w:val="1"/>
      <w:numFmt w:val="decimal"/>
      <w:lvlText w:val="%7."/>
      <w:lvlJc w:val="left"/>
      <w:pPr>
        <w:ind w:left="5749" w:hanging="360"/>
      </w:pPr>
      <w:rPr>
        <w:rFonts w:cs="Times New Roman"/>
      </w:rPr>
    </w:lvl>
    <w:lvl w:ilvl="7" w:tentative="0">
      <w:start w:val="1"/>
      <w:numFmt w:val="lowerLetter"/>
      <w:lvlText w:val="%8."/>
      <w:lvlJc w:val="left"/>
      <w:pPr>
        <w:ind w:left="6469" w:hanging="360"/>
      </w:pPr>
      <w:rPr>
        <w:rFonts w:cs="Times New Roman"/>
      </w:rPr>
    </w:lvl>
    <w:lvl w:ilvl="8" w:tentative="0">
      <w:start w:val="1"/>
      <w:numFmt w:val="lowerRoman"/>
      <w:lvlText w:val="%9."/>
      <w:lvlJc w:val="right"/>
      <w:pPr>
        <w:ind w:left="7189" w:hanging="180"/>
      </w:pPr>
      <w:rPr>
        <w:rFonts w:cs="Times New Roman"/>
      </w:rPr>
    </w:lvl>
  </w:abstractNum>
  <w:abstractNum w:abstractNumId="12">
    <w:nsid w:val="4BAB1867"/>
    <w:multiLevelType w:val="multilevel"/>
    <w:tmpl w:val="4BAB18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13">
    <w:nsid w:val="4C6213CD"/>
    <w:multiLevelType w:val="multilevel"/>
    <w:tmpl w:val="4C6213CD"/>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14">
    <w:nsid w:val="610554AD"/>
    <w:multiLevelType w:val="multilevel"/>
    <w:tmpl w:val="610554AD"/>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5">
    <w:nsid w:val="6BEE59E3"/>
    <w:multiLevelType w:val="multilevel"/>
    <w:tmpl w:val="6BEE59E3"/>
    <w:lvl w:ilvl="0" w:tentative="0">
      <w:start w:val="1"/>
      <w:numFmt w:val="decimal"/>
      <w:lvlText w:val="%1."/>
      <w:lvlJc w:val="left"/>
      <w:pPr>
        <w:ind w:left="1774" w:hanging="1065"/>
      </w:pPr>
      <w:rPr>
        <w:rFonts w:hint="default" w:cs="Times New Roman"/>
      </w:rPr>
    </w:lvl>
    <w:lvl w:ilvl="1" w:tentative="0">
      <w:start w:val="1"/>
      <w:numFmt w:val="lowerLetter"/>
      <w:lvlText w:val="%2."/>
      <w:lvlJc w:val="left"/>
      <w:pPr>
        <w:ind w:left="1789" w:hanging="360"/>
      </w:pPr>
      <w:rPr>
        <w:rFonts w:cs="Times New Roman"/>
      </w:rPr>
    </w:lvl>
    <w:lvl w:ilvl="2" w:tentative="0">
      <w:start w:val="1"/>
      <w:numFmt w:val="lowerRoman"/>
      <w:lvlText w:val="%3."/>
      <w:lvlJc w:val="right"/>
      <w:pPr>
        <w:ind w:left="2509" w:hanging="180"/>
      </w:pPr>
      <w:rPr>
        <w:rFonts w:cs="Times New Roman"/>
      </w:rPr>
    </w:lvl>
    <w:lvl w:ilvl="3" w:tentative="0">
      <w:start w:val="1"/>
      <w:numFmt w:val="decimal"/>
      <w:lvlText w:val="%4."/>
      <w:lvlJc w:val="left"/>
      <w:pPr>
        <w:ind w:left="3229" w:hanging="360"/>
      </w:pPr>
      <w:rPr>
        <w:rFonts w:cs="Times New Roman"/>
      </w:rPr>
    </w:lvl>
    <w:lvl w:ilvl="4" w:tentative="0">
      <w:start w:val="1"/>
      <w:numFmt w:val="lowerLetter"/>
      <w:lvlText w:val="%5."/>
      <w:lvlJc w:val="left"/>
      <w:pPr>
        <w:ind w:left="3949" w:hanging="360"/>
      </w:pPr>
      <w:rPr>
        <w:rFonts w:cs="Times New Roman"/>
      </w:rPr>
    </w:lvl>
    <w:lvl w:ilvl="5" w:tentative="0">
      <w:start w:val="1"/>
      <w:numFmt w:val="lowerRoman"/>
      <w:lvlText w:val="%6."/>
      <w:lvlJc w:val="right"/>
      <w:pPr>
        <w:ind w:left="4669" w:hanging="180"/>
      </w:pPr>
      <w:rPr>
        <w:rFonts w:cs="Times New Roman"/>
      </w:rPr>
    </w:lvl>
    <w:lvl w:ilvl="6" w:tentative="0">
      <w:start w:val="1"/>
      <w:numFmt w:val="decimal"/>
      <w:lvlText w:val="%7."/>
      <w:lvlJc w:val="left"/>
      <w:pPr>
        <w:ind w:left="5389" w:hanging="360"/>
      </w:pPr>
      <w:rPr>
        <w:rFonts w:cs="Times New Roman"/>
      </w:rPr>
    </w:lvl>
    <w:lvl w:ilvl="7" w:tentative="0">
      <w:start w:val="1"/>
      <w:numFmt w:val="lowerLetter"/>
      <w:lvlText w:val="%8."/>
      <w:lvlJc w:val="left"/>
      <w:pPr>
        <w:ind w:left="6109" w:hanging="360"/>
      </w:pPr>
      <w:rPr>
        <w:rFonts w:cs="Times New Roman"/>
      </w:rPr>
    </w:lvl>
    <w:lvl w:ilvl="8" w:tentative="0">
      <w:start w:val="1"/>
      <w:numFmt w:val="lowerRoman"/>
      <w:lvlText w:val="%9."/>
      <w:lvlJc w:val="right"/>
      <w:pPr>
        <w:ind w:left="6829" w:hanging="180"/>
      </w:pPr>
      <w:rPr>
        <w:rFonts w:cs="Times New Roman"/>
      </w:rPr>
    </w:lvl>
  </w:abstractNum>
  <w:abstractNum w:abstractNumId="16">
    <w:nsid w:val="789A0C50"/>
    <w:multiLevelType w:val="multilevel"/>
    <w:tmpl w:val="789A0C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E3A47EC"/>
    <w:multiLevelType w:val="multilevel"/>
    <w:tmpl w:val="7E3A47EC"/>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num w:numId="1">
    <w:abstractNumId w:val="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7"/>
  </w:num>
  <w:num w:numId="5">
    <w:abstractNumId w:val="7"/>
  </w:num>
  <w:num w:numId="6">
    <w:abstractNumId w:val="6"/>
  </w:num>
  <w:num w:numId="7">
    <w:abstractNumId w:val="11"/>
  </w:num>
  <w:num w:numId="8">
    <w:abstractNumId w:val="15"/>
  </w:num>
  <w:num w:numId="9">
    <w:abstractNumId w:val="10"/>
  </w:num>
  <w:num w:numId="10">
    <w:abstractNumId w:val="0"/>
  </w:num>
  <w:num w:numId="11">
    <w:abstractNumId w:val="14"/>
  </w:num>
  <w:num w:numId="12">
    <w:abstractNumId w:val="1"/>
  </w:num>
  <w:num w:numId="13">
    <w:abstractNumId w:val="4"/>
  </w:num>
  <w:num w:numId="14">
    <w:abstractNumId w:val="16"/>
  </w:num>
  <w:num w:numId="15">
    <w:abstractNumId w:val="13"/>
  </w:num>
  <w:num w:numId="16">
    <w:abstractNumId w:val="8"/>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74B"/>
    <w:rsid w:val="000D4EEE"/>
    <w:rsid w:val="0018274B"/>
    <w:rsid w:val="001E13A2"/>
    <w:rsid w:val="00275AA2"/>
    <w:rsid w:val="00306443"/>
    <w:rsid w:val="003D0A25"/>
    <w:rsid w:val="00545DDB"/>
    <w:rsid w:val="00772220"/>
    <w:rsid w:val="007E5000"/>
    <w:rsid w:val="00B84FD9"/>
    <w:rsid w:val="00CA1BCC"/>
    <w:rsid w:val="00DA25D9"/>
    <w:rsid w:val="00E83A02"/>
    <w:rsid w:val="00F5468E"/>
    <w:rsid w:val="00F618E9"/>
    <w:rsid w:val="49614EB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20"/>
    <w:qFormat/>
    <w:uiPriority w:val="9"/>
    <w:pPr>
      <w:keepNext/>
      <w:keepLines/>
      <w:spacing w:before="240" w:after="0"/>
      <w:outlineLvl w:val="0"/>
    </w:pPr>
    <w:rPr>
      <w:rFonts w:ascii="Cambria" w:hAnsi="Cambria" w:eastAsia="Times New Roman" w:cs="Times New Roman"/>
      <w:color w:val="365F91"/>
      <w:sz w:val="32"/>
      <w:szCs w:val="32"/>
    </w:rPr>
  </w:style>
  <w:style w:type="paragraph" w:styleId="3">
    <w:name w:val="heading 2"/>
    <w:basedOn w:val="1"/>
    <w:next w:val="1"/>
    <w:link w:val="21"/>
    <w:semiHidden/>
    <w:unhideWhenUsed/>
    <w:qFormat/>
    <w:uiPriority w:val="9"/>
    <w:pPr>
      <w:keepNext/>
      <w:keepLines/>
      <w:spacing w:before="40" w:after="0"/>
      <w:outlineLvl w:val="1"/>
    </w:pPr>
    <w:rPr>
      <w:rFonts w:ascii="Cambria" w:hAnsi="Cambria" w:eastAsia="Times New Roman" w:cs="Times New Roman"/>
      <w:color w:val="365F91"/>
      <w:sz w:val="26"/>
      <w:szCs w:val="26"/>
    </w:rPr>
  </w:style>
  <w:style w:type="paragraph" w:styleId="4">
    <w:name w:val="heading 3"/>
    <w:basedOn w:val="1"/>
    <w:next w:val="1"/>
    <w:link w:val="35"/>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character" w:default="1" w:styleId="12">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Balloon Text"/>
    <w:basedOn w:val="1"/>
    <w:link w:val="34"/>
    <w:semiHidden/>
    <w:unhideWhenUsed/>
    <w:uiPriority w:val="99"/>
    <w:pPr>
      <w:spacing w:after="0" w:line="240" w:lineRule="auto"/>
    </w:pPr>
    <w:rPr>
      <w:rFonts w:ascii="Segoe UI" w:hAnsi="Segoe UI" w:cs="Segoe UI"/>
      <w:sz w:val="18"/>
      <w:szCs w:val="18"/>
    </w:rPr>
  </w:style>
  <w:style w:type="paragraph" w:styleId="6">
    <w:name w:val="footnote text"/>
    <w:basedOn w:val="1"/>
    <w:link w:val="41"/>
    <w:semiHidden/>
    <w:unhideWhenUsed/>
    <w:qFormat/>
    <w:uiPriority w:val="99"/>
    <w:pPr>
      <w:spacing w:after="0" w:line="240" w:lineRule="auto"/>
    </w:pPr>
    <w:rPr>
      <w:rFonts w:ascii="Calibri" w:hAnsi="Calibri" w:eastAsia="Times New Roman" w:cs="Times New Roman"/>
      <w:sz w:val="20"/>
      <w:szCs w:val="20"/>
      <w:lang w:val="en-US"/>
    </w:rPr>
  </w:style>
  <w:style w:type="paragraph" w:styleId="7">
    <w:name w:val="toc 1"/>
    <w:basedOn w:val="1"/>
    <w:next w:val="1"/>
    <w:unhideWhenUsed/>
    <w:uiPriority w:val="39"/>
    <w:pPr>
      <w:spacing w:after="100"/>
    </w:pPr>
  </w:style>
  <w:style w:type="paragraph" w:styleId="8">
    <w:name w:val="toc 3"/>
    <w:basedOn w:val="1"/>
    <w:next w:val="1"/>
    <w:unhideWhenUsed/>
    <w:uiPriority w:val="39"/>
    <w:pPr>
      <w:spacing w:after="100"/>
      <w:ind w:left="440"/>
    </w:pPr>
  </w:style>
  <w:style w:type="paragraph" w:styleId="9">
    <w:name w:val="toc 2"/>
    <w:basedOn w:val="1"/>
    <w:next w:val="1"/>
    <w:unhideWhenUsed/>
    <w:uiPriority w:val="39"/>
    <w:pPr>
      <w:spacing w:after="100"/>
      <w:ind w:left="220"/>
    </w:pPr>
  </w:style>
  <w:style w:type="paragraph" w:styleId="10">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1">
    <w:name w:val="HTML Preformatted"/>
    <w:basedOn w:val="1"/>
    <w:link w:val="44"/>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pl-PL" w:eastAsia="pl-PL"/>
    </w:rPr>
  </w:style>
  <w:style w:type="character" w:styleId="13">
    <w:name w:val="FollowedHyperlink"/>
    <w:basedOn w:val="12"/>
    <w:semiHidden/>
    <w:unhideWhenUsed/>
    <w:uiPriority w:val="99"/>
    <w:rPr>
      <w:color w:val="954F72" w:themeColor="followedHyperlink"/>
      <w:u w:val="single"/>
      <w14:textFill>
        <w14:solidFill>
          <w14:schemeClr w14:val="folHlink"/>
        </w14:solidFill>
      </w14:textFill>
    </w:rPr>
  </w:style>
  <w:style w:type="character" w:styleId="14">
    <w:name w:val="footnote reference"/>
    <w:semiHidden/>
    <w:unhideWhenUsed/>
    <w:uiPriority w:val="99"/>
    <w:rPr>
      <w:rFonts w:hint="default" w:ascii="Times New Roman" w:hAnsi="Times New Roman" w:cs="Times New Roman"/>
      <w:vertAlign w:val="superscript"/>
    </w:rPr>
  </w:style>
  <w:style w:type="character" w:styleId="15">
    <w:name w:val="Hyperlink"/>
    <w:basedOn w:val="12"/>
    <w:unhideWhenUsed/>
    <w:uiPriority w:val="99"/>
    <w:rPr>
      <w:color w:val="0563C1" w:themeColor="hyperlink"/>
      <w:u w:val="single"/>
      <w14:textFill>
        <w14:solidFill>
          <w14:schemeClr w14:val="hlink"/>
        </w14:solidFill>
      </w14:textFill>
    </w:rPr>
  </w:style>
  <w:style w:type="table" w:styleId="17">
    <w:name w:val="Table Grid"/>
    <w:basedOn w:val="1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Заголовок 11"/>
    <w:basedOn w:val="1"/>
    <w:next w:val="1"/>
    <w:qFormat/>
    <w:uiPriority w:val="9"/>
    <w:pPr>
      <w:keepNext/>
      <w:keepLines/>
      <w:spacing w:before="240" w:after="0" w:line="276" w:lineRule="auto"/>
      <w:outlineLvl w:val="0"/>
    </w:pPr>
    <w:rPr>
      <w:rFonts w:ascii="Cambria" w:hAnsi="Cambria" w:eastAsia="Times New Roman" w:cs="Times New Roman"/>
      <w:color w:val="365F91"/>
      <w:sz w:val="32"/>
      <w:szCs w:val="32"/>
    </w:rPr>
  </w:style>
  <w:style w:type="paragraph" w:customStyle="1" w:styleId="19">
    <w:name w:val="Заголовок 21"/>
    <w:basedOn w:val="1"/>
    <w:next w:val="1"/>
    <w:unhideWhenUsed/>
    <w:qFormat/>
    <w:uiPriority w:val="9"/>
    <w:pPr>
      <w:keepNext/>
      <w:keepLines/>
      <w:spacing w:before="40" w:after="0" w:line="276" w:lineRule="auto"/>
      <w:outlineLvl w:val="1"/>
    </w:pPr>
    <w:rPr>
      <w:rFonts w:ascii="Cambria" w:hAnsi="Cambria" w:eastAsia="Times New Roman" w:cs="Times New Roman"/>
      <w:color w:val="365F91"/>
      <w:sz w:val="26"/>
      <w:szCs w:val="26"/>
    </w:rPr>
  </w:style>
  <w:style w:type="character" w:customStyle="1" w:styleId="20">
    <w:name w:val="Заголовок 1 Знак"/>
    <w:basedOn w:val="12"/>
    <w:link w:val="2"/>
    <w:uiPriority w:val="9"/>
    <w:rPr>
      <w:rFonts w:ascii="Cambria" w:hAnsi="Cambria" w:eastAsia="Times New Roman" w:cs="Times New Roman"/>
      <w:color w:val="365F91"/>
      <w:sz w:val="32"/>
      <w:szCs w:val="32"/>
    </w:rPr>
  </w:style>
  <w:style w:type="character" w:customStyle="1" w:styleId="21">
    <w:name w:val="Заголовок 2 Знак"/>
    <w:basedOn w:val="12"/>
    <w:link w:val="3"/>
    <w:uiPriority w:val="9"/>
    <w:rPr>
      <w:rFonts w:ascii="Cambria" w:hAnsi="Cambria" w:eastAsia="Times New Roman" w:cs="Times New Roman"/>
      <w:color w:val="365F91"/>
      <w:sz w:val="26"/>
      <w:szCs w:val="26"/>
    </w:rPr>
  </w:style>
  <w:style w:type="table" w:customStyle="1" w:styleId="22">
    <w:name w:val="Сетка таблицы1"/>
    <w:basedOn w:val="1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laceholder Text"/>
    <w:basedOn w:val="12"/>
    <w:semiHidden/>
    <w:uiPriority w:val="99"/>
    <w:rPr>
      <w:color w:val="808080"/>
    </w:rPr>
  </w:style>
  <w:style w:type="paragraph" w:customStyle="1" w:styleId="24">
    <w:name w:val="Абзац списка1"/>
    <w:basedOn w:val="1"/>
    <w:next w:val="25"/>
    <w:qFormat/>
    <w:uiPriority w:val="34"/>
    <w:pPr>
      <w:spacing w:after="200" w:line="276" w:lineRule="auto"/>
      <w:ind w:left="720"/>
      <w:contextualSpacing/>
    </w:pPr>
  </w:style>
  <w:style w:type="paragraph" w:styleId="25">
    <w:name w:val="List Paragraph"/>
    <w:basedOn w:val="1"/>
    <w:qFormat/>
    <w:uiPriority w:val="34"/>
    <w:pPr>
      <w:ind w:left="720"/>
      <w:contextualSpacing/>
    </w:pPr>
  </w:style>
  <w:style w:type="paragraph" w:customStyle="1" w:styleId="26">
    <w:name w:val="Заголовок оглавления1"/>
    <w:basedOn w:val="2"/>
    <w:next w:val="1"/>
    <w:unhideWhenUsed/>
    <w:qFormat/>
    <w:uiPriority w:val="39"/>
  </w:style>
  <w:style w:type="paragraph" w:customStyle="1" w:styleId="27">
    <w:name w:val="Оглавление 21"/>
    <w:basedOn w:val="1"/>
    <w:next w:val="1"/>
    <w:unhideWhenUsed/>
    <w:uiPriority w:val="39"/>
    <w:pPr>
      <w:spacing w:after="100" w:line="276" w:lineRule="auto"/>
      <w:ind w:left="220"/>
    </w:pPr>
  </w:style>
  <w:style w:type="character" w:customStyle="1" w:styleId="28">
    <w:name w:val="Гиперссылка1"/>
    <w:basedOn w:val="12"/>
    <w:unhideWhenUsed/>
    <w:uiPriority w:val="99"/>
    <w:rPr>
      <w:color w:val="0000FF"/>
      <w:u w:val="single"/>
    </w:rPr>
  </w:style>
  <w:style w:type="paragraph" w:customStyle="1" w:styleId="29">
    <w:name w:val="Текст выноски1"/>
    <w:basedOn w:val="1"/>
    <w:next w:val="5"/>
    <w:link w:val="30"/>
    <w:semiHidden/>
    <w:unhideWhenUsed/>
    <w:uiPriority w:val="99"/>
    <w:pPr>
      <w:spacing w:after="0" w:line="240" w:lineRule="auto"/>
    </w:pPr>
    <w:rPr>
      <w:rFonts w:ascii="Tahoma" w:hAnsi="Tahoma" w:cs="Tahoma"/>
      <w:sz w:val="16"/>
      <w:szCs w:val="16"/>
    </w:rPr>
  </w:style>
  <w:style w:type="character" w:customStyle="1" w:styleId="30">
    <w:name w:val="Текст выноски Знак"/>
    <w:basedOn w:val="12"/>
    <w:link w:val="29"/>
    <w:semiHidden/>
    <w:uiPriority w:val="99"/>
    <w:rPr>
      <w:rFonts w:ascii="Tahoma" w:hAnsi="Tahoma" w:cs="Tahoma"/>
      <w:sz w:val="16"/>
      <w:szCs w:val="16"/>
    </w:rPr>
  </w:style>
  <w:style w:type="character" w:customStyle="1" w:styleId="31">
    <w:name w:val="Просмотренная гиперссылка1"/>
    <w:basedOn w:val="12"/>
    <w:semiHidden/>
    <w:unhideWhenUsed/>
    <w:uiPriority w:val="99"/>
    <w:rPr>
      <w:color w:val="800080"/>
      <w:u w:val="single"/>
    </w:rPr>
  </w:style>
  <w:style w:type="character" w:customStyle="1" w:styleId="32">
    <w:name w:val="Заголовок 1 Знак1"/>
    <w:basedOn w:val="12"/>
    <w:uiPriority w:val="9"/>
    <w:rPr>
      <w:rFonts w:asciiTheme="majorHAnsi" w:hAnsiTheme="majorHAnsi" w:eastAsiaTheme="majorEastAsia" w:cstheme="majorBidi"/>
      <w:color w:val="2E75B6" w:themeColor="accent1" w:themeShade="BF"/>
      <w:sz w:val="32"/>
      <w:szCs w:val="32"/>
    </w:rPr>
  </w:style>
  <w:style w:type="character" w:customStyle="1" w:styleId="33">
    <w:name w:val="Заголовок 2 Знак1"/>
    <w:basedOn w:val="12"/>
    <w:semiHidden/>
    <w:uiPriority w:val="9"/>
    <w:rPr>
      <w:rFonts w:asciiTheme="majorHAnsi" w:hAnsiTheme="majorHAnsi" w:eastAsiaTheme="majorEastAsia" w:cstheme="majorBidi"/>
      <w:color w:val="2E75B6" w:themeColor="accent1" w:themeShade="BF"/>
      <w:sz w:val="26"/>
      <w:szCs w:val="26"/>
    </w:rPr>
  </w:style>
  <w:style w:type="character" w:customStyle="1" w:styleId="34">
    <w:name w:val="Текст выноски Знак1"/>
    <w:basedOn w:val="12"/>
    <w:link w:val="5"/>
    <w:semiHidden/>
    <w:uiPriority w:val="99"/>
    <w:rPr>
      <w:rFonts w:ascii="Segoe UI" w:hAnsi="Segoe UI" w:cs="Segoe UI"/>
      <w:sz w:val="18"/>
      <w:szCs w:val="18"/>
    </w:rPr>
  </w:style>
  <w:style w:type="character" w:customStyle="1" w:styleId="35">
    <w:name w:val="Заголовок 3 Знак"/>
    <w:basedOn w:val="12"/>
    <w:link w:val="4"/>
    <w:semiHidden/>
    <w:uiPriority w:val="9"/>
    <w:rPr>
      <w:rFonts w:asciiTheme="majorHAnsi" w:hAnsiTheme="majorHAnsi" w:eastAsiaTheme="majorEastAsia" w:cstheme="majorBidi"/>
      <w:color w:val="1F4E79" w:themeColor="accent1" w:themeShade="80"/>
      <w:sz w:val="24"/>
      <w:szCs w:val="24"/>
    </w:rPr>
  </w:style>
  <w:style w:type="paragraph" w:customStyle="1" w:styleId="36">
    <w:name w:val="55555"/>
    <w:basedOn w:val="1"/>
    <w:link w:val="37"/>
    <w:qFormat/>
    <w:uiPriority w:val="0"/>
    <w:pPr>
      <w:spacing w:after="0" w:line="360" w:lineRule="auto"/>
      <w:ind w:firstLine="709"/>
      <w:jc w:val="both"/>
    </w:pPr>
    <w:rPr>
      <w:rFonts w:ascii="Times New Roman" w:hAnsi="Times New Roman"/>
      <w:sz w:val="28"/>
    </w:rPr>
  </w:style>
  <w:style w:type="character" w:customStyle="1" w:styleId="37">
    <w:name w:val="55555 Знак"/>
    <w:basedOn w:val="12"/>
    <w:link w:val="36"/>
    <w:uiPriority w:val="0"/>
    <w:rPr>
      <w:rFonts w:ascii="Times New Roman" w:hAnsi="Times New Roman"/>
      <w:sz w:val="28"/>
    </w:rPr>
  </w:style>
  <w:style w:type="paragraph" w:customStyle="1" w:styleId="38">
    <w:name w:val="44444"/>
    <w:basedOn w:val="1"/>
    <w:link w:val="39"/>
    <w:qFormat/>
    <w:uiPriority w:val="0"/>
    <w:pPr>
      <w:spacing w:after="0" w:line="360" w:lineRule="auto"/>
      <w:jc w:val="center"/>
    </w:pPr>
    <w:rPr>
      <w:rFonts w:ascii="Times New Roman" w:hAnsi="Times New Roman" w:cs="Times New Roman"/>
      <w:b/>
      <w:sz w:val="28"/>
      <w:szCs w:val="28"/>
    </w:rPr>
  </w:style>
  <w:style w:type="character" w:customStyle="1" w:styleId="39">
    <w:name w:val="44444 Знак"/>
    <w:basedOn w:val="12"/>
    <w:link w:val="38"/>
    <w:uiPriority w:val="0"/>
    <w:rPr>
      <w:rFonts w:ascii="Times New Roman" w:hAnsi="Times New Roman" w:cs="Times New Roman"/>
      <w:b/>
      <w:sz w:val="28"/>
      <w:szCs w:val="28"/>
    </w:rPr>
  </w:style>
  <w:style w:type="paragraph" w:customStyle="1" w:styleId="40">
    <w:name w:val="TOC Heading"/>
    <w:basedOn w:val="2"/>
    <w:next w:val="1"/>
    <w:unhideWhenUsed/>
    <w:qFormat/>
    <w:uiPriority w:val="39"/>
    <w:pPr>
      <w:outlineLvl w:val="9"/>
    </w:pPr>
    <w:rPr>
      <w:rFonts w:asciiTheme="majorHAnsi" w:hAnsiTheme="majorHAnsi" w:eastAsiaTheme="majorEastAsia" w:cstheme="majorBidi"/>
      <w:color w:val="2E75B6" w:themeColor="accent1" w:themeShade="BF"/>
      <w:lang w:eastAsia="ru-RU"/>
    </w:rPr>
  </w:style>
  <w:style w:type="character" w:customStyle="1" w:styleId="41">
    <w:name w:val="Текст сноски Знак"/>
    <w:basedOn w:val="12"/>
    <w:link w:val="6"/>
    <w:semiHidden/>
    <w:qFormat/>
    <w:uiPriority w:val="99"/>
    <w:rPr>
      <w:rFonts w:ascii="Calibri" w:hAnsi="Calibri" w:eastAsia="Times New Roman" w:cs="Times New Roman"/>
      <w:sz w:val="20"/>
      <w:szCs w:val="20"/>
      <w:lang w:val="en-US"/>
    </w:rPr>
  </w:style>
  <w:style w:type="paragraph" w:customStyle="1" w:styleId="42">
    <w:name w:val="Author"/>
    <w:basedOn w:val="1"/>
    <w:uiPriority w:val="0"/>
    <w:pPr>
      <w:spacing w:after="60" w:line="240" w:lineRule="auto"/>
      <w:jc w:val="center"/>
    </w:pPr>
    <w:rPr>
      <w:rFonts w:ascii="Times New Roman" w:hAnsi="Times New Roman" w:eastAsia="Times New Roman" w:cs="Times New Roman"/>
      <w:b/>
      <w:sz w:val="24"/>
      <w:szCs w:val="24"/>
      <w:lang w:val="en-GB"/>
    </w:rPr>
  </w:style>
  <w:style w:type="character" w:customStyle="1" w:styleId="43">
    <w:name w:val="apple-converted-space"/>
    <w:uiPriority w:val="0"/>
  </w:style>
  <w:style w:type="character" w:customStyle="1" w:styleId="44">
    <w:name w:val="Стандартный HTML Знак"/>
    <w:basedOn w:val="12"/>
    <w:link w:val="11"/>
    <w:uiPriority w:val="99"/>
    <w:rPr>
      <w:rFonts w:ascii="Courier New" w:hAnsi="Courier New" w:eastAsia="Times New Roman" w:cs="Courier New"/>
      <w:sz w:val="20"/>
      <w:szCs w:val="20"/>
      <w:lang w:val="pl-PL" w:eastAsia="pl-P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GIF"/><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theme" Target="theme/theme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chart" Target="charts/chart3.xml"/><Relationship Id="rId31" Type="http://schemas.openxmlformats.org/officeDocument/2006/relationships/image" Target="media/image16.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oleObject" Target="embeddings/oleObject8.bin"/><Relationship Id="rId27" Type="http://schemas.openxmlformats.org/officeDocument/2006/relationships/image" Target="media/image14.wmf"/><Relationship Id="rId26" Type="http://schemas.openxmlformats.org/officeDocument/2006/relationships/oleObject" Target="embeddings/oleObject7.bin"/><Relationship Id="rId25" Type="http://schemas.openxmlformats.org/officeDocument/2006/relationships/image" Target="media/image13.wmf"/><Relationship Id="rId24" Type="http://schemas.openxmlformats.org/officeDocument/2006/relationships/oleObject" Target="embeddings/oleObject6.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4.bin"/><Relationship Id="rId17" Type="http://schemas.openxmlformats.org/officeDocument/2006/relationships/image" Target="media/image8.wmf"/><Relationship Id="rId16" Type="http://schemas.openxmlformats.org/officeDocument/2006/relationships/oleObject" Target="embeddings/oleObject3.bin"/><Relationship Id="rId15" Type="http://schemas.openxmlformats.org/officeDocument/2006/relationships/image" Target="media/image7.wmf"/><Relationship Id="rId14" Type="http://schemas.openxmlformats.org/officeDocument/2006/relationships/oleObject" Target="embeddings/oleObject2.bin"/><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User\Desktop\&#1059;&#1085;&#1080;&#1074;&#1077;&#1088;%20&#1070;&#1083;&#1103;\5%20&#1082;&#1091;&#1088;&#1089;\&#1057;&#1090;&#1072;&#1090;&#1100;&#1103;%20&#1069;&#1082;&#1086;&#1085;&#1086;&#1084;&#1080;&#1082;&#1072;%20&#1090;&#1088;\&#1057;&#1090;&#1072;&#1090;&#1100;&#1080;\SW.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embeddings/oleObject10.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b="1" i="1" cap="none" spc="0">
                <a:ln w="10541" cmpd="sng">
                  <a:solidFill>
                    <a:schemeClr val="accent1">
                      <a:shade val="88000"/>
                      <a:satMod val="110000"/>
                    </a:schemeClr>
                  </a:solidFill>
                  <a:prstDash val="solid"/>
                </a:ln>
                <a:solidFill>
                  <a:schemeClr val="accent5">
                    <a:lumMod val="75000"/>
                  </a:schemeClr>
                </a:solidFill>
                <a:effectLst/>
              </a:rPr>
              <a:t>Точки перевалки зерна на экспорт,млн</a:t>
            </a:r>
            <a:r>
              <a:rPr lang="ru-RU" b="1" i="1" cap="none" spc="0" baseline="0">
                <a:ln w="10541" cmpd="sng">
                  <a:solidFill>
                    <a:schemeClr val="accent1">
                      <a:shade val="88000"/>
                      <a:satMod val="110000"/>
                    </a:schemeClr>
                  </a:solidFill>
                  <a:prstDash val="solid"/>
                </a:ln>
                <a:solidFill>
                  <a:schemeClr val="accent5">
                    <a:lumMod val="75000"/>
                  </a:schemeClr>
                </a:solidFill>
                <a:effectLst/>
              </a:rPr>
              <a:t> т</a:t>
            </a:r>
            <a:endParaRPr lang="ru-RU" b="1" i="1" cap="none" spc="0">
              <a:ln w="10541" cmpd="sng">
                <a:solidFill>
                  <a:schemeClr val="accent1">
                    <a:shade val="88000"/>
                    <a:satMod val="110000"/>
                  </a:schemeClr>
                </a:solidFill>
                <a:prstDash val="solid"/>
              </a:ln>
              <a:solidFill>
                <a:schemeClr val="accent5">
                  <a:lumMod val="75000"/>
                </a:schemeClr>
              </a:solidFill>
              <a:effectLst/>
            </a:endParaRPr>
          </a:p>
        </c:rich>
      </c:tx>
      <c:layout>
        <c:manualLayout>
          <c:xMode val="edge"/>
          <c:yMode val="edge"/>
          <c:x val="0.185893233828771"/>
          <c:y val="0.011976065318705"/>
        </c:manualLayout>
      </c:layout>
      <c:overlay val="1"/>
    </c:title>
    <c:autoTitleDeleted val="0"/>
    <c:plotArea>
      <c:layout>
        <c:manualLayout>
          <c:layoutTarget val="inner"/>
          <c:xMode val="edge"/>
          <c:yMode val="edge"/>
          <c:x val="0.0988926321139786"/>
          <c:y val="0.170595240691866"/>
          <c:w val="0.880132665409027"/>
          <c:h val="0.563536234617379"/>
        </c:manualLayout>
      </c:layout>
      <c:barChart>
        <c:barDir val="col"/>
        <c:grouping val="clustered"/>
        <c:varyColors val="0"/>
        <c:ser>
          <c:idx val="0"/>
          <c:order val="0"/>
          <c:invertIfNegative val="0"/>
          <c:dLbls>
            <c:dLbl>
              <c:idx val="0"/>
              <c:layout>
                <c:manualLayout>
                  <c:x val="-0.00113369297958917"/>
                  <c:y val="0.004626023543464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0976726775862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6940013787656"/>
                  <c:y val="-0.017145865748817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5732545081897"/>
                  <c:y val="-0.01596806387225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3110454234914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573254508189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2985956535644"/>
                  <c:y val="0.007279614000345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402952391708164"/>
                  <c:y val="0.01476480110644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204477664018493"/>
                  <c:y val="0.009746176937463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Лист3!$B$1:$B$7</c:f>
              <c:strCache>
                <c:ptCount val="7"/>
                <c:pt idx="0">
                  <c:v>Новороссийск</c:v>
                </c:pt>
                <c:pt idx="1">
                  <c:v>Малые порты АЧБ</c:v>
                </c:pt>
                <c:pt idx="2">
                  <c:v>Кавказ</c:v>
                </c:pt>
                <c:pt idx="3">
                  <c:v>Тамань</c:v>
                </c:pt>
                <c:pt idx="4">
                  <c:v>Порты Балтии</c:v>
                </c:pt>
                <c:pt idx="5">
                  <c:v>Туапсе</c:v>
                </c:pt>
                <c:pt idx="6">
                  <c:v>Азербайджан</c:v>
                </c:pt>
              </c:strCache>
            </c:strRef>
          </c:cat>
          <c:val>
            <c:numRef>
              <c:f>Лист3!$A$1:$A$10</c:f>
              <c:numCache>
                <c:formatCode>General</c:formatCode>
                <c:ptCount val="10"/>
                <c:pt idx="0">
                  <c:v>18.24</c:v>
                </c:pt>
                <c:pt idx="1">
                  <c:v>15.99</c:v>
                </c:pt>
                <c:pt idx="2">
                  <c:v>5.22</c:v>
                </c:pt>
                <c:pt idx="3">
                  <c:v>3.93</c:v>
                </c:pt>
                <c:pt idx="4">
                  <c:v>2.26</c:v>
                </c:pt>
                <c:pt idx="5">
                  <c:v>2.5</c:v>
                </c:pt>
                <c:pt idx="6">
                  <c:v>1.34</c:v>
                </c:pt>
              </c:numCache>
            </c:numRef>
          </c:val>
        </c:ser>
        <c:dLbls>
          <c:showLegendKey val="0"/>
          <c:showVal val="0"/>
          <c:showCatName val="0"/>
          <c:showSerName val="0"/>
          <c:showPercent val="0"/>
          <c:showBubbleSize val="0"/>
        </c:dLbls>
        <c:gapWidth val="100"/>
        <c:axId val="308247168"/>
        <c:axId val="308251648"/>
      </c:barChart>
      <c:catAx>
        <c:axId val="308247168"/>
        <c:scaling>
          <c:orientation val="minMax"/>
        </c:scaling>
        <c:delete val="0"/>
        <c:axPos val="b"/>
        <c:numFmt formatCode="General" sourceLinked="0"/>
        <c:majorTickMark val="out"/>
        <c:minorTickMark val="none"/>
        <c:tickLblPos val="nextTo"/>
        <c:spPr>
          <a:noFill/>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308251648"/>
        <c:crosses val="autoZero"/>
        <c:auto val="1"/>
        <c:lblAlgn val="ctr"/>
        <c:lblOffset val="100"/>
        <c:noMultiLvlLbl val="0"/>
      </c:catAx>
      <c:valAx>
        <c:axId val="308251648"/>
        <c:scaling>
          <c:orientation val="minMax"/>
        </c:scaling>
        <c:delete val="1"/>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308247168"/>
        <c:crosses val="autoZero"/>
        <c:crossBetween val="between"/>
      </c:valAx>
      <c:spPr>
        <a:solidFill>
          <a:schemeClr val="bg1"/>
        </a:solidFill>
        <a:ln>
          <a:noFill/>
        </a:ln>
        <a:effectLst/>
      </c:spPr>
    </c:plotArea>
    <c:plotVisOnly val="1"/>
    <c:dispBlanksAs val="gap"/>
    <c:showDLblsOverMax val="0"/>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Процент механизации и автоматизации ПРР на ГТС Шушары</a:t>
            </a:r>
            <a:endParaRPr lang="ru-RU"/>
          </a:p>
        </c:rich>
      </c:tx>
      <c:layout/>
      <c:overlay val="0"/>
    </c:title>
    <c:autoTitleDeleted val="0"/>
    <c:plotArea>
      <c:layout/>
      <c:pieChart>
        <c:varyColors val="1"/>
        <c:ser>
          <c:idx val="0"/>
          <c:order val="0"/>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Лист1!$A$1:$A$2</c:f>
              <c:strCache>
                <c:ptCount val="2"/>
                <c:pt idx="0">
                  <c:v>Автоматизация процессов</c:v>
                </c:pt>
                <c:pt idx="1">
                  <c:v>Механизация процессов</c:v>
                </c:pt>
              </c:strCache>
            </c:strRef>
          </c:cat>
          <c:val>
            <c:numRef>
              <c:f>Лист1!$B$1:$B$2</c:f>
              <c:numCache>
                <c:formatCode>General</c:formatCode>
                <c:ptCount val="2"/>
                <c:pt idx="0">
                  <c:v>7</c:v>
                </c:pt>
                <c:pt idx="1">
                  <c:v>14</c:v>
                </c:pt>
              </c:numCache>
            </c:numRef>
          </c:val>
        </c:ser>
        <c:dLbls>
          <c:showLegendKey val="0"/>
          <c:showVal val="0"/>
          <c:showCatName val="0"/>
          <c:showSerName val="0"/>
          <c:showPercent val="1"/>
          <c:showBubbleSize val="0"/>
          <c:showLeaderLines val="1"/>
        </c:dLbls>
        <c:firstSliceAng val="0"/>
      </c:pieChart>
    </c:plotArea>
    <c:legend>
      <c:legendPos val="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3 в Microsoft Word]Лист1'!$A$3</c:f>
              <c:strCache>
                <c:ptCount val="1"/>
                <c:pt idx="0">
                  <c:v>Железнодорожным</c:v>
                </c:pt>
              </c:strCache>
            </c:strRef>
          </c:tx>
          <c:invertIfNegative val="0"/>
          <c:dLbls>
            <c:delete val="1"/>
          </c:dLbls>
          <c:cat>
            <c:multiLvlStrRef>
              <c:f>'[Диаграмма 3 в Microsoft Word]Лист1'!$B$1:$M$2</c:f>
              <c:multiLvlStrCache>
                <c:ptCount val="12"/>
                <c:lvl>
                  <c:pt idx="0">
                    <c:v>П</c:v>
                  </c:pt>
                  <c:pt idx="1">
                    <c:v>О</c:v>
                  </c:pt>
                  <c:pt idx="2">
                    <c:v>П</c:v>
                  </c:pt>
                  <c:pt idx="3">
                    <c:v>О</c:v>
                  </c:pt>
                  <c:pt idx="4">
                    <c:v>П</c:v>
                  </c:pt>
                  <c:pt idx="5">
                    <c:v>О</c:v>
                  </c:pt>
                  <c:pt idx="6">
                    <c:v>П</c:v>
                  </c:pt>
                  <c:pt idx="7">
                    <c:v>О</c:v>
                  </c:pt>
                  <c:pt idx="8">
                    <c:v>П</c:v>
                  </c:pt>
                  <c:pt idx="9">
                    <c:v>О</c:v>
                  </c:pt>
                  <c:pt idx="10">
                    <c:v>П</c:v>
                  </c:pt>
                  <c:pt idx="11">
                    <c:v>О</c:v>
                  </c:pt>
                </c:lvl>
                <c:lvl>
                  <c:pt idx="0">
                    <c:v>2006 г.</c:v>
                  </c:pt>
                  <c:pt idx="2">
                    <c:v>2007 г.</c:v>
                  </c:pt>
                  <c:pt idx="4">
                    <c:v>2010 г.</c:v>
                  </c:pt>
                  <c:pt idx="6">
                    <c:v>2011 г.</c:v>
                  </c:pt>
                  <c:pt idx="8">
                    <c:v>2012 г.</c:v>
                  </c:pt>
                  <c:pt idx="10">
                    <c:v>2013 г.</c:v>
                  </c:pt>
                </c:lvl>
              </c:multiLvlStrCache>
            </c:multiLvlStrRef>
          </c:cat>
          <c:val>
            <c:numRef>
              <c:f>'[Диаграмма 3 в Microsoft Word]Лист1'!$B$3:$M$3</c:f>
              <c:numCache>
                <c:formatCode>0.0%</c:formatCode>
                <c:ptCount val="12"/>
                <c:pt idx="0">
                  <c:v>0.436</c:v>
                </c:pt>
                <c:pt idx="1">
                  <c:v>0.293</c:v>
                </c:pt>
                <c:pt idx="2">
                  <c:v>0.44</c:v>
                </c:pt>
                <c:pt idx="3">
                  <c:v>0.349</c:v>
                </c:pt>
                <c:pt idx="4">
                  <c:v>0.445</c:v>
                </c:pt>
                <c:pt idx="5">
                  <c:v>0.251</c:v>
                </c:pt>
                <c:pt idx="6">
                  <c:v>0.466</c:v>
                </c:pt>
                <c:pt idx="7">
                  <c:v>0.238</c:v>
                </c:pt>
                <c:pt idx="8">
                  <c:v>0.48</c:v>
                </c:pt>
                <c:pt idx="9">
                  <c:v>0.21</c:v>
                </c:pt>
                <c:pt idx="10">
                  <c:v>0.469</c:v>
                </c:pt>
                <c:pt idx="11">
                  <c:v>0.218</c:v>
                </c:pt>
              </c:numCache>
            </c:numRef>
          </c:val>
        </c:ser>
        <c:ser>
          <c:idx val="1"/>
          <c:order val="1"/>
          <c:tx>
            <c:strRef>
              <c:f>'[Диаграмма 3 в Microsoft Word]Лист1'!$A$4</c:f>
              <c:strCache>
                <c:ptCount val="1"/>
                <c:pt idx="0">
                  <c:v>Автомобильным</c:v>
                </c:pt>
              </c:strCache>
            </c:strRef>
          </c:tx>
          <c:invertIfNegative val="0"/>
          <c:dLbls>
            <c:delete val="1"/>
          </c:dLbls>
          <c:cat>
            <c:multiLvlStrRef>
              <c:f>'[Диаграмма 3 в Microsoft Word]Лист1'!$B$1:$M$2</c:f>
              <c:multiLvlStrCache>
                <c:ptCount val="12"/>
                <c:lvl>
                  <c:pt idx="0">
                    <c:v>П</c:v>
                  </c:pt>
                  <c:pt idx="1">
                    <c:v>О</c:v>
                  </c:pt>
                  <c:pt idx="2">
                    <c:v>П</c:v>
                  </c:pt>
                  <c:pt idx="3">
                    <c:v>О</c:v>
                  </c:pt>
                  <c:pt idx="4">
                    <c:v>П</c:v>
                  </c:pt>
                  <c:pt idx="5">
                    <c:v>О</c:v>
                  </c:pt>
                  <c:pt idx="6">
                    <c:v>П</c:v>
                  </c:pt>
                  <c:pt idx="7">
                    <c:v>О</c:v>
                  </c:pt>
                  <c:pt idx="8">
                    <c:v>П</c:v>
                  </c:pt>
                  <c:pt idx="9">
                    <c:v>О</c:v>
                  </c:pt>
                  <c:pt idx="10">
                    <c:v>П</c:v>
                  </c:pt>
                  <c:pt idx="11">
                    <c:v>О</c:v>
                  </c:pt>
                </c:lvl>
                <c:lvl>
                  <c:pt idx="0">
                    <c:v>2006 г.</c:v>
                  </c:pt>
                  <c:pt idx="2">
                    <c:v>2007 г.</c:v>
                  </c:pt>
                  <c:pt idx="4">
                    <c:v>2010 г.</c:v>
                  </c:pt>
                  <c:pt idx="6">
                    <c:v>2011 г.</c:v>
                  </c:pt>
                  <c:pt idx="8">
                    <c:v>2012 г.</c:v>
                  </c:pt>
                  <c:pt idx="10">
                    <c:v>2013 г.</c:v>
                  </c:pt>
                </c:lvl>
              </c:multiLvlStrCache>
            </c:multiLvlStrRef>
          </c:cat>
          <c:val>
            <c:numRef>
              <c:f>'[Диаграмма 3 в Microsoft Word]Лист1'!$B$4:$M$4</c:f>
              <c:numCache>
                <c:formatCode>0.0%</c:formatCode>
                <c:ptCount val="12"/>
                <c:pt idx="0">
                  <c:v>0.057</c:v>
                </c:pt>
                <c:pt idx="1">
                  <c:v>0.548</c:v>
                </c:pt>
                <c:pt idx="2">
                  <c:v>0.051</c:v>
                </c:pt>
                <c:pt idx="3">
                  <c:v>0.54</c:v>
                </c:pt>
                <c:pt idx="4">
                  <c:v>0.053</c:v>
                </c:pt>
                <c:pt idx="5">
                  <c:v>0.524</c:v>
                </c:pt>
                <c:pt idx="6">
                  <c:v>0.068</c:v>
                </c:pt>
                <c:pt idx="7">
                  <c:v>0.615</c:v>
                </c:pt>
                <c:pt idx="8">
                  <c:v>0.06</c:v>
                </c:pt>
                <c:pt idx="9">
                  <c:v>0.63</c:v>
                </c:pt>
                <c:pt idx="10">
                  <c:v>0.074</c:v>
                </c:pt>
                <c:pt idx="11">
                  <c:v>0.558</c:v>
                </c:pt>
              </c:numCache>
            </c:numRef>
          </c:val>
        </c:ser>
        <c:ser>
          <c:idx val="2"/>
          <c:order val="2"/>
          <c:tx>
            <c:strRef>
              <c:f>'[Диаграмма 3 в Microsoft Word]Лист1'!$A$5</c:f>
              <c:strCache>
                <c:ptCount val="1"/>
                <c:pt idx="0">
                  <c:v>Речным</c:v>
                </c:pt>
              </c:strCache>
            </c:strRef>
          </c:tx>
          <c:invertIfNegative val="0"/>
          <c:dLbls>
            <c:delete val="1"/>
          </c:dLbls>
          <c:cat>
            <c:multiLvlStrRef>
              <c:f>'[Диаграмма 3 в Microsoft Word]Лист1'!$B$1:$M$2</c:f>
              <c:multiLvlStrCache>
                <c:ptCount val="12"/>
                <c:lvl>
                  <c:pt idx="0">
                    <c:v>П</c:v>
                  </c:pt>
                  <c:pt idx="1">
                    <c:v>О</c:v>
                  </c:pt>
                  <c:pt idx="2">
                    <c:v>П</c:v>
                  </c:pt>
                  <c:pt idx="3">
                    <c:v>О</c:v>
                  </c:pt>
                  <c:pt idx="4">
                    <c:v>П</c:v>
                  </c:pt>
                  <c:pt idx="5">
                    <c:v>О</c:v>
                  </c:pt>
                  <c:pt idx="6">
                    <c:v>П</c:v>
                  </c:pt>
                  <c:pt idx="7">
                    <c:v>О</c:v>
                  </c:pt>
                  <c:pt idx="8">
                    <c:v>П</c:v>
                  </c:pt>
                  <c:pt idx="9">
                    <c:v>О</c:v>
                  </c:pt>
                  <c:pt idx="10">
                    <c:v>П</c:v>
                  </c:pt>
                  <c:pt idx="11">
                    <c:v>О</c:v>
                  </c:pt>
                </c:lvl>
                <c:lvl>
                  <c:pt idx="0">
                    <c:v>2006 г.</c:v>
                  </c:pt>
                  <c:pt idx="2">
                    <c:v>2007 г.</c:v>
                  </c:pt>
                  <c:pt idx="4">
                    <c:v>2010 г.</c:v>
                  </c:pt>
                  <c:pt idx="6">
                    <c:v>2011 г.</c:v>
                  </c:pt>
                  <c:pt idx="8">
                    <c:v>2012 г.</c:v>
                  </c:pt>
                  <c:pt idx="10">
                    <c:v>2013 г.</c:v>
                  </c:pt>
                </c:lvl>
              </c:multiLvlStrCache>
            </c:multiLvlStrRef>
          </c:cat>
          <c:val>
            <c:numRef>
              <c:f>'[Диаграмма 3 в Microsoft Word]Лист1'!$B$5:$M$5</c:f>
              <c:numCache>
                <c:formatCode>0.0%</c:formatCode>
                <c:ptCount val="12"/>
                <c:pt idx="0">
                  <c:v>0.05</c:v>
                </c:pt>
                <c:pt idx="1">
                  <c:v>0.075</c:v>
                </c:pt>
                <c:pt idx="2">
                  <c:v>0.037</c:v>
                </c:pt>
                <c:pt idx="3">
                  <c:v>0.033</c:v>
                </c:pt>
                <c:pt idx="4">
                  <c:v>0.029</c:v>
                </c:pt>
                <c:pt idx="5">
                  <c:v>0.029</c:v>
                </c:pt>
                <c:pt idx="6">
                  <c:v>0.028</c:v>
                </c:pt>
                <c:pt idx="7">
                  <c:v>0.031</c:v>
                </c:pt>
                <c:pt idx="8">
                  <c:v>0.02</c:v>
                </c:pt>
                <c:pt idx="9">
                  <c:v>0.03</c:v>
                </c:pt>
                <c:pt idx="10">
                  <c:v>0.018</c:v>
                </c:pt>
                <c:pt idx="11">
                  <c:v>0.004</c:v>
                </c:pt>
              </c:numCache>
            </c:numRef>
          </c:val>
        </c:ser>
        <c:ser>
          <c:idx val="3"/>
          <c:order val="3"/>
          <c:tx>
            <c:strRef>
              <c:f>'[Диаграмма 3 в Microsoft Word]Лист1'!$A$6</c:f>
              <c:strCache>
                <c:ptCount val="1"/>
                <c:pt idx="0">
                  <c:v>Морским</c:v>
                </c:pt>
              </c:strCache>
            </c:strRef>
          </c:tx>
          <c:invertIfNegative val="0"/>
          <c:dLbls>
            <c:delete val="1"/>
          </c:dLbls>
          <c:cat>
            <c:multiLvlStrRef>
              <c:f>'[Диаграмма 3 в Microsoft Word]Лист1'!$B$1:$M$2</c:f>
              <c:multiLvlStrCache>
                <c:ptCount val="12"/>
                <c:lvl>
                  <c:pt idx="0">
                    <c:v>П</c:v>
                  </c:pt>
                  <c:pt idx="1">
                    <c:v>О</c:v>
                  </c:pt>
                  <c:pt idx="2">
                    <c:v>П</c:v>
                  </c:pt>
                  <c:pt idx="3">
                    <c:v>О</c:v>
                  </c:pt>
                  <c:pt idx="4">
                    <c:v>П</c:v>
                  </c:pt>
                  <c:pt idx="5">
                    <c:v>О</c:v>
                  </c:pt>
                  <c:pt idx="6">
                    <c:v>П</c:v>
                  </c:pt>
                  <c:pt idx="7">
                    <c:v>О</c:v>
                  </c:pt>
                  <c:pt idx="8">
                    <c:v>П</c:v>
                  </c:pt>
                  <c:pt idx="9">
                    <c:v>О</c:v>
                  </c:pt>
                  <c:pt idx="10">
                    <c:v>П</c:v>
                  </c:pt>
                  <c:pt idx="11">
                    <c:v>О</c:v>
                  </c:pt>
                </c:lvl>
                <c:lvl>
                  <c:pt idx="0">
                    <c:v>2006 г.</c:v>
                  </c:pt>
                  <c:pt idx="2">
                    <c:v>2007 г.</c:v>
                  </c:pt>
                  <c:pt idx="4">
                    <c:v>2010 г.</c:v>
                  </c:pt>
                  <c:pt idx="6">
                    <c:v>2011 г.</c:v>
                  </c:pt>
                  <c:pt idx="8">
                    <c:v>2012 г.</c:v>
                  </c:pt>
                  <c:pt idx="10">
                    <c:v>2013 г.</c:v>
                  </c:pt>
                </c:lvl>
              </c:multiLvlStrCache>
            </c:multiLvlStrRef>
          </c:cat>
          <c:val>
            <c:numRef>
              <c:f>'[Диаграмма 3 в Microsoft Word]Лист1'!$B$6:$M$6</c:f>
              <c:numCache>
                <c:formatCode>0.0%</c:formatCode>
                <c:ptCount val="12"/>
                <c:pt idx="0">
                  <c:v>0</c:v>
                </c:pt>
                <c:pt idx="1">
                  <c:v>0</c:v>
                </c:pt>
                <c:pt idx="2">
                  <c:v>0.002</c:v>
                </c:pt>
                <c:pt idx="3">
                  <c:v>0.022</c:v>
                </c:pt>
                <c:pt idx="4">
                  <c:v>0.036</c:v>
                </c:pt>
                <c:pt idx="5">
                  <c:v>0.115</c:v>
                </c:pt>
                <c:pt idx="6">
                  <c:v>0.019</c:v>
                </c:pt>
                <c:pt idx="7">
                  <c:v>0.023</c:v>
                </c:pt>
                <c:pt idx="8">
                  <c:v>0</c:v>
                </c:pt>
                <c:pt idx="9">
                  <c:v>0.01</c:v>
                </c:pt>
                <c:pt idx="10">
                  <c:v>0.025</c:v>
                </c:pt>
                <c:pt idx="11">
                  <c:v>0.058</c:v>
                </c:pt>
              </c:numCache>
            </c:numRef>
          </c:val>
        </c:ser>
        <c:ser>
          <c:idx val="4"/>
          <c:order val="4"/>
          <c:tx>
            <c:strRef>
              <c:f>'[Диаграмма 3 в Microsoft Word]Лист1'!$A$7</c:f>
              <c:strCache>
                <c:ptCount val="1"/>
                <c:pt idx="0">
                  <c:v>Трубопроводным</c:v>
                </c:pt>
              </c:strCache>
            </c:strRef>
          </c:tx>
          <c:invertIfNegative val="0"/>
          <c:dLbls>
            <c:delete val="1"/>
          </c:dLbls>
          <c:cat>
            <c:multiLvlStrRef>
              <c:f>'[Диаграмма 3 в Microsoft Word]Лист1'!$B$1:$M$2</c:f>
              <c:multiLvlStrCache>
                <c:ptCount val="12"/>
                <c:lvl>
                  <c:pt idx="0">
                    <c:v>П</c:v>
                  </c:pt>
                  <c:pt idx="1">
                    <c:v>О</c:v>
                  </c:pt>
                  <c:pt idx="2">
                    <c:v>П</c:v>
                  </c:pt>
                  <c:pt idx="3">
                    <c:v>О</c:v>
                  </c:pt>
                  <c:pt idx="4">
                    <c:v>П</c:v>
                  </c:pt>
                  <c:pt idx="5">
                    <c:v>О</c:v>
                  </c:pt>
                  <c:pt idx="6">
                    <c:v>П</c:v>
                  </c:pt>
                  <c:pt idx="7">
                    <c:v>О</c:v>
                  </c:pt>
                  <c:pt idx="8">
                    <c:v>П</c:v>
                  </c:pt>
                  <c:pt idx="9">
                    <c:v>О</c:v>
                  </c:pt>
                  <c:pt idx="10">
                    <c:v>П</c:v>
                  </c:pt>
                  <c:pt idx="11">
                    <c:v>О</c:v>
                  </c:pt>
                </c:lvl>
                <c:lvl>
                  <c:pt idx="0">
                    <c:v>2006 г.</c:v>
                  </c:pt>
                  <c:pt idx="2">
                    <c:v>2007 г.</c:v>
                  </c:pt>
                  <c:pt idx="4">
                    <c:v>2010 г.</c:v>
                  </c:pt>
                  <c:pt idx="6">
                    <c:v>2011 г.</c:v>
                  </c:pt>
                  <c:pt idx="8">
                    <c:v>2012 г.</c:v>
                  </c:pt>
                  <c:pt idx="10">
                    <c:v>2013 г.</c:v>
                  </c:pt>
                </c:lvl>
              </c:multiLvlStrCache>
            </c:multiLvlStrRef>
          </c:cat>
          <c:val>
            <c:numRef>
              <c:f>'[Диаграмма 3 в Microsoft Word]Лист1'!$B$7:$M$7</c:f>
              <c:numCache>
                <c:formatCode>0.0%</c:formatCode>
                <c:ptCount val="12"/>
                <c:pt idx="0">
                  <c:v>0.457</c:v>
                </c:pt>
                <c:pt idx="1">
                  <c:v>0.082</c:v>
                </c:pt>
                <c:pt idx="2">
                  <c:v>0.472</c:v>
                </c:pt>
                <c:pt idx="3">
                  <c:v>0.079</c:v>
                </c:pt>
                <c:pt idx="4">
                  <c:v>0.437</c:v>
                </c:pt>
                <c:pt idx="5">
                  <c:v>0.082</c:v>
                </c:pt>
                <c:pt idx="6">
                  <c:v>0.42</c:v>
                </c:pt>
                <c:pt idx="7">
                  <c:v>0.092</c:v>
                </c:pt>
                <c:pt idx="8">
                  <c:v>0.41</c:v>
                </c:pt>
                <c:pt idx="9">
                  <c:v>0.1</c:v>
                </c:pt>
                <c:pt idx="10">
                  <c:v>0.413</c:v>
                </c:pt>
                <c:pt idx="11">
                  <c:v>0.062</c:v>
                </c:pt>
              </c:numCache>
            </c:numRef>
          </c:val>
        </c:ser>
        <c:dLbls>
          <c:showLegendKey val="0"/>
          <c:showVal val="0"/>
          <c:showCatName val="0"/>
          <c:showSerName val="0"/>
          <c:showPercent val="0"/>
          <c:showBubbleSize val="0"/>
        </c:dLbls>
        <c:gapWidth val="150"/>
        <c:overlap val="-42"/>
        <c:axId val="563188384"/>
        <c:axId val="563179424"/>
      </c:barChart>
      <c:catAx>
        <c:axId val="56318838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563179424"/>
        <c:crosses val="autoZero"/>
        <c:auto val="1"/>
        <c:lblAlgn val="ctr"/>
        <c:lblOffset val="100"/>
        <c:noMultiLvlLbl val="0"/>
      </c:catAx>
      <c:valAx>
        <c:axId val="56317942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56318838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D8AAE8-B6A0-479C-A5C5-D34DF39BE274}">
  <ds:schemaRefs/>
</ds:datastoreItem>
</file>

<file path=docProps/app.xml><?xml version="1.0" encoding="utf-8"?>
<Properties xmlns="http://schemas.openxmlformats.org/officeDocument/2006/extended-properties" xmlns:vt="http://schemas.openxmlformats.org/officeDocument/2006/docPropsVTypes">
  <Template>Normal.dotm</Template>
  <Company>Microsoft Corporation</Company>
  <Pages>1</Pages>
  <Words>23242</Words>
  <Characters>132482</Characters>
  <Lines>1104</Lines>
  <Paragraphs>310</Paragraphs>
  <TotalTime>208</TotalTime>
  <ScaleCrop>false</ScaleCrop>
  <LinksUpToDate>false</LinksUpToDate>
  <CharactersWithSpaces>155414</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2020-03-23T15:02:00Z</dcterms:created>
  <dc:creator>Коля</dc:creator>
  <cp:lastModifiedBy>Маша</cp:lastModifiedBy>
  <dcterms:modified xsi:type="dcterms:W3CDTF">2020-04-11T11:55:30Z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1049-11.2.0.9255</vt:lpwstr>
  </property>
</Properties>
</file>