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BF" w:rsidRDefault="009939AF">
      <w:pPr>
        <w:rPr>
          <w:b/>
        </w:rPr>
      </w:pPr>
      <w:r w:rsidRPr="009939AF">
        <w:rPr>
          <w:b/>
        </w:rPr>
        <w:t>Профессиональные компетенции (ПК)  и их индикаторы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2660"/>
        <w:gridCol w:w="3118"/>
        <w:gridCol w:w="2977"/>
        <w:gridCol w:w="3119"/>
        <w:gridCol w:w="3260"/>
      </w:tblGrid>
      <w:tr w:rsidR="009939AF" w:rsidRPr="009939AF" w:rsidTr="009939AF">
        <w:tc>
          <w:tcPr>
            <w:tcW w:w="2660" w:type="dxa"/>
            <w:vMerge w:val="restart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(группа) профессиональных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9356" w:type="dxa"/>
            <w:gridSpan w:val="3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Код и наименование индикатора достижений профессиональной компетенции</w:t>
            </w:r>
          </w:p>
        </w:tc>
      </w:tr>
      <w:tr w:rsidR="009939AF" w:rsidRPr="009939AF" w:rsidTr="009939AF">
        <w:tc>
          <w:tcPr>
            <w:tcW w:w="2660" w:type="dxa"/>
            <w:vMerge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3119" w:type="dxa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3260" w:type="dxa"/>
            <w:vAlign w:val="center"/>
          </w:tcPr>
          <w:p w:rsidR="009939AF" w:rsidRPr="009939AF" w:rsidRDefault="009939AF" w:rsidP="009939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Навыки, опыт деятельности</w:t>
            </w:r>
          </w:p>
        </w:tc>
      </w:tr>
      <w:tr w:rsidR="00480E37" w:rsidRPr="009939AF" w:rsidTr="00480E37">
        <w:trPr>
          <w:trHeight w:val="1535"/>
        </w:trPr>
        <w:tc>
          <w:tcPr>
            <w:tcW w:w="2660" w:type="dxa"/>
            <w:vMerge w:val="restart"/>
          </w:tcPr>
          <w:p w:rsidR="00480E37" w:rsidRPr="009939AF" w:rsidRDefault="00480E37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технической документации на различных стадиях разработки проекта системы электропривода</w:t>
            </w:r>
          </w:p>
        </w:tc>
        <w:tc>
          <w:tcPr>
            <w:tcW w:w="3118" w:type="dxa"/>
            <w:vMerge w:val="restart"/>
          </w:tcPr>
          <w:p w:rsidR="00480E37" w:rsidRPr="009939AF" w:rsidRDefault="00480E37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Выполнение отчета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проведенном обследовании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оборудования, для которого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разрабатывается система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</w:t>
            </w: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ПК-1.1.1. Правила выполнения текстовых и графических документов,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входящих в состав проектной документации.</w:t>
            </w:r>
          </w:p>
        </w:tc>
        <w:tc>
          <w:tcPr>
            <w:tcW w:w="3119" w:type="dxa"/>
            <w:vAlign w:val="center"/>
          </w:tcPr>
          <w:p w:rsidR="00480E37" w:rsidRDefault="00480E37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методики и процедуры системы менеджмента качества,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автоматизированной системы управления организацией,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частного технического задания на проведение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предпроектного</w:t>
            </w:r>
            <w:proofErr w:type="spell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обследования оборудования, для которого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разрабатывается система электропривода, к составу и содержанию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отчета о проведенном обследовании с целью определения полноты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данных для его составления.</w:t>
            </w:r>
          </w:p>
          <w:p w:rsidR="00957BFF" w:rsidRPr="009939AF" w:rsidRDefault="00957BFF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технической документации на оборудование, для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которого разрабатывается система электропривода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480E37" w:rsidRPr="009939AF" w:rsidTr="009939AF">
        <w:trPr>
          <w:trHeight w:val="1532"/>
        </w:trPr>
        <w:tc>
          <w:tcPr>
            <w:tcW w:w="2660" w:type="dxa"/>
            <w:vMerge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ПК-1.1.2 Типовые формы отчета о </w:t>
            </w:r>
            <w:proofErr w:type="spell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предпроектном</w:t>
            </w:r>
            <w:proofErr w:type="spell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обследовании объекта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автоматизации.</w:t>
            </w:r>
          </w:p>
        </w:tc>
        <w:tc>
          <w:tcPr>
            <w:tcW w:w="3119" w:type="dxa"/>
            <w:vAlign w:val="center"/>
          </w:tcPr>
          <w:p w:rsidR="00480E37" w:rsidRDefault="00480E37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ПК-1.2.2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программу, используемую для написания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модификации документов, проведения расчетов, систему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автоматизированного проектирования для выполнения текстовых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графических разделов отчета о проведенном обследовании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оборудования, для которого разрабатывается система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электропривода.</w:t>
            </w:r>
          </w:p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данных по результатам </w:t>
            </w:r>
            <w:proofErr w:type="spell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предпроектного</w:t>
            </w:r>
            <w:proofErr w:type="spell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обследования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оборудования, для которого разрабатывается система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электропривода.</w:t>
            </w:r>
          </w:p>
        </w:tc>
      </w:tr>
      <w:tr w:rsidR="00480E37" w:rsidRPr="009939AF" w:rsidTr="009939AF">
        <w:trPr>
          <w:trHeight w:val="1532"/>
        </w:trPr>
        <w:tc>
          <w:tcPr>
            <w:tcW w:w="2660" w:type="dxa"/>
            <w:vMerge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ПК-1.1.3 Методики и процедуры системы менеджмента качества.</w:t>
            </w:r>
          </w:p>
        </w:tc>
        <w:tc>
          <w:tcPr>
            <w:tcW w:w="3119" w:type="dxa"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существлять сбор, обработку и анализ справочной и реферативной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 об оборудования, для которого разрабатывается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система электропривода, в том числе с использованием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информационно-телекоммуникационной сети "Интернет".</w:t>
            </w: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ПК-1.3.3. Составление отчета о выполненном обследовании оборудования, для которого разрабатывается система электропривода</w:t>
            </w:r>
          </w:p>
        </w:tc>
      </w:tr>
      <w:tr w:rsidR="00480E37" w:rsidRPr="009939AF" w:rsidTr="00957BFF">
        <w:trPr>
          <w:trHeight w:val="841"/>
        </w:trPr>
        <w:tc>
          <w:tcPr>
            <w:tcW w:w="2660" w:type="dxa"/>
            <w:vMerge w:val="restart"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автоматизированной системы управления организацией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0E37" w:rsidRPr="009939AF" w:rsidRDefault="00480E37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80E37" w:rsidRPr="009939AF" w:rsidTr="00957BFF">
        <w:trPr>
          <w:trHeight w:val="996"/>
        </w:trPr>
        <w:tc>
          <w:tcPr>
            <w:tcW w:w="2660" w:type="dxa"/>
            <w:vMerge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ПК-1.1.5 Программа, используемая для написания и модификации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документов, проведения расчетов.</w:t>
            </w:r>
          </w:p>
        </w:tc>
        <w:tc>
          <w:tcPr>
            <w:tcW w:w="3119" w:type="dxa"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80E37" w:rsidRPr="009939AF" w:rsidTr="00957BFF">
        <w:trPr>
          <w:trHeight w:val="826"/>
        </w:trPr>
        <w:tc>
          <w:tcPr>
            <w:tcW w:w="2660" w:type="dxa"/>
            <w:vMerge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ПК-1.1.6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Система автоматизированного проектирования.</w:t>
            </w:r>
          </w:p>
        </w:tc>
        <w:tc>
          <w:tcPr>
            <w:tcW w:w="3119" w:type="dxa"/>
            <w:vAlign w:val="center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80E37" w:rsidRPr="009939AF" w:rsidTr="00480E37">
        <w:trPr>
          <w:trHeight w:val="2300"/>
        </w:trPr>
        <w:tc>
          <w:tcPr>
            <w:tcW w:w="2660" w:type="dxa"/>
            <w:vMerge/>
          </w:tcPr>
          <w:p w:rsidR="00480E37" w:rsidRPr="009939AF" w:rsidRDefault="00480E37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480E37" w:rsidRPr="009939AF" w:rsidRDefault="00480E37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Выполнение технического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задания на разработку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</w:t>
            </w:r>
          </w:p>
        </w:tc>
        <w:tc>
          <w:tcPr>
            <w:tcW w:w="2977" w:type="dxa"/>
          </w:tcPr>
          <w:p w:rsidR="00480E37" w:rsidRPr="009939AF" w:rsidRDefault="00480E37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ПК-2.1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составления технического задания на разработку проекта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системы электропривода.</w:t>
            </w:r>
          </w:p>
        </w:tc>
        <w:tc>
          <w:tcPr>
            <w:tcW w:w="3119" w:type="dxa"/>
            <w:vAlign w:val="center"/>
          </w:tcPr>
          <w:p w:rsidR="00480E37" w:rsidRDefault="00480E37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ПК-2.2.1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методики и процедуры системы менеджмента качества,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автоматизированной системы управления организацией,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нормативно-технической документации к составу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содержанию технического задания на разработку проекта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 для определения полноты данных для 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составления.</w:t>
            </w:r>
          </w:p>
          <w:p w:rsidR="00957BFF" w:rsidRPr="009939AF" w:rsidRDefault="00957BFF" w:rsidP="0048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80E37" w:rsidRPr="009939AF" w:rsidRDefault="00480E37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ПК-2..3.</w:t>
            </w:r>
            <w:r w:rsidR="00957B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материалов для составления технического задания на</w:t>
            </w:r>
            <w:r w:rsidR="00957B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разработку проекта системы электропривода.</w:t>
            </w:r>
          </w:p>
        </w:tc>
      </w:tr>
      <w:tr w:rsidR="00480E37" w:rsidRPr="009939AF" w:rsidTr="00957BFF">
        <w:trPr>
          <w:trHeight w:val="2300"/>
        </w:trPr>
        <w:tc>
          <w:tcPr>
            <w:tcW w:w="2660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Default="00480E37" w:rsidP="00480E3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480E3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0E37" w:rsidRPr="009939AF" w:rsidRDefault="00480E37" w:rsidP="00957BF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ПК-2.2.2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систему автоматизированного проектирования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программу, используемую для написания и модификации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документов, для выполнения графических и текстовых частей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технического задания на разработку проекта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электропривода.</w:t>
            </w:r>
          </w:p>
        </w:tc>
        <w:tc>
          <w:tcPr>
            <w:tcW w:w="3260" w:type="dxa"/>
          </w:tcPr>
          <w:p w:rsidR="00480E37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ПК-2.3.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графической части технического задания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разработку проекта системы электропривода. </w:t>
            </w:r>
          </w:p>
        </w:tc>
      </w:tr>
      <w:tr w:rsidR="00480E37" w:rsidRPr="009939AF" w:rsidTr="00957BFF">
        <w:trPr>
          <w:trHeight w:val="2119"/>
        </w:trPr>
        <w:tc>
          <w:tcPr>
            <w:tcW w:w="2660" w:type="dxa"/>
            <w:vMerge/>
          </w:tcPr>
          <w:p w:rsidR="00480E37" w:rsidRPr="009939AF" w:rsidRDefault="00480E37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80E37" w:rsidRDefault="00480E37" w:rsidP="00480E3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0E37" w:rsidRPr="009939AF" w:rsidRDefault="00480E37" w:rsidP="00480E3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0E37" w:rsidRPr="009939AF" w:rsidRDefault="00480E37" w:rsidP="00480E37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ПК-2.2.3. Выполнять необходимые расчеты для оформления технического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задания на разработку проекта системы электропривода.</w:t>
            </w:r>
          </w:p>
        </w:tc>
        <w:tc>
          <w:tcPr>
            <w:tcW w:w="3260" w:type="dxa"/>
          </w:tcPr>
          <w:p w:rsidR="00480E37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ПК-2.3.3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текстовой части технического задания на разработку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проекта системы электропривода.</w:t>
            </w:r>
          </w:p>
        </w:tc>
      </w:tr>
      <w:tr w:rsidR="00957BFF" w:rsidRPr="009939AF" w:rsidTr="00957BFF">
        <w:trPr>
          <w:trHeight w:val="4387"/>
        </w:trPr>
        <w:tc>
          <w:tcPr>
            <w:tcW w:w="2660" w:type="dxa"/>
            <w:vMerge w:val="restart"/>
          </w:tcPr>
          <w:p w:rsidR="00957BFF" w:rsidRPr="009939AF" w:rsidRDefault="00957BFF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Выполнение комплекта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конструкторской документации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эскизного, технического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проектов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</w:t>
            </w:r>
          </w:p>
        </w:tc>
        <w:tc>
          <w:tcPr>
            <w:tcW w:w="2977" w:type="dxa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ПК-3.1.1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выполнения графических и текстовых разделов эскизного,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технического и рабочего проектов системы электропривода.</w:t>
            </w:r>
          </w:p>
        </w:tc>
        <w:tc>
          <w:tcPr>
            <w:tcW w:w="3119" w:type="dxa"/>
          </w:tcPr>
          <w:p w:rsidR="00957BF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методики и процедуры системы менеджмента качества,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автоматизированной системы управления организацией, требования нормативно-технической документации, технического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задания на разработку проекта системы электропривода к составу и содержанию документации для определения полноты данных для оформления комплектов конструкторских документов эскизного, технического и рабочего проектов системы электропривода.</w:t>
            </w:r>
          </w:p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ПК-3.3.1 Анализ исходных материалов для оформления комплектов конструкторских документов на различных стадиях проектирования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системы электропривода.</w:t>
            </w:r>
          </w:p>
        </w:tc>
      </w:tr>
      <w:tr w:rsidR="00957BFF" w:rsidRPr="009939AF" w:rsidTr="00957BFF">
        <w:trPr>
          <w:trHeight w:val="2928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Методики выполнения расчетов для эскизного, технического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проектов системы электропривода.</w:t>
            </w:r>
          </w:p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57BF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ПК-3.2.2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разделов комплектов конструкторских документов эскизного, технического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проектов на разработку проекта системы электропривода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графических разделов комплектов конструкторских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документов эскизного, технического и рабочего проектов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электропривода.</w:t>
            </w:r>
          </w:p>
        </w:tc>
      </w:tr>
      <w:tr w:rsidR="00957BFF" w:rsidRPr="009939AF" w:rsidTr="00957BFF">
        <w:trPr>
          <w:trHeight w:val="1564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ыполнять расчеты для эскизного, технического и рабочего проектов системы электропривода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ПК-3.3.3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текстовых разделов комплектов конструкторских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документов эскизного, технического и рабочего проектов системы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электропривода.</w:t>
            </w:r>
          </w:p>
        </w:tc>
      </w:tr>
      <w:tr w:rsidR="00957BFF" w:rsidRPr="009939AF" w:rsidTr="00957BFF">
        <w:trPr>
          <w:trHeight w:val="985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ПК-3.2.4. Пользоваться информационно-телекоммуникационной сетью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"Интернет"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57BFF" w:rsidRPr="009939AF" w:rsidTr="00957BFF">
        <w:trPr>
          <w:trHeight w:val="1563"/>
        </w:trPr>
        <w:tc>
          <w:tcPr>
            <w:tcW w:w="2660" w:type="dxa"/>
            <w:vMerge w:val="restart"/>
          </w:tcPr>
          <w:p w:rsidR="00957BFF" w:rsidRPr="009939AF" w:rsidRDefault="00957BFF" w:rsidP="009939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простых узлов, блоков системы электропривода</w:t>
            </w:r>
          </w:p>
        </w:tc>
        <w:tc>
          <w:tcPr>
            <w:tcW w:w="2977" w:type="dxa"/>
          </w:tcPr>
          <w:p w:rsidR="00957BFF" w:rsidRPr="009939AF" w:rsidRDefault="00957BFF" w:rsidP="00DC0A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-4.1.1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Требования законодательства Российской Федерации и нормативных правовых актов,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эскизного, технического и рабочего проектов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ПК-4.2.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методики и процедуры системы менеджмента качества,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автоматизированной системы управления организацией, требования частного технического задания на разработку простых узлов, блоков системы электропривода для определения полноты данных для их разработки на различных стадиях проектирования</w:t>
            </w:r>
          </w:p>
          <w:p w:rsidR="00957BFF" w:rsidRPr="009939AF" w:rsidRDefault="00957BFF" w:rsidP="00957B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DC0A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частного технического задания на разработку простых узлов,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блоков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57BFF" w:rsidRPr="009939AF" w:rsidTr="00957BFF">
        <w:trPr>
          <w:trHeight w:val="1563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DC0AE8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-4.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1.2 Требования нормативных документов к устройству простых узлов,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блоков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-4.2.2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методики и процедуры системы менеджмента качества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для анализа справочной и реферативной информации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существующих технических решениях по простым узлам, блокам системы электропривода, аналогичным подлежащим разработке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 информации о существующих технических решениях по простым узлам, блокам системы электропривода, аналогичным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подлежащим разработке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57BFF" w:rsidRPr="009939AF" w:rsidTr="00957BFF">
        <w:trPr>
          <w:trHeight w:val="1563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DC0AE8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выполнения комплекта конструкторской документации простых узлов, блоков на различных стадиях проектирования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7BFF" w:rsidRPr="009939AF" w:rsidRDefault="00957BFF" w:rsidP="00DC0AE8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ПК-4.2.3</w:t>
            </w:r>
            <w:proofErr w:type="gramStart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рименять систему автоматизированного проектирования и программу, используемую для написания и модификации документов, для выполнения графических и текстовых разделов комплектов конструкторских документов простых узлов и блоков на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различных стадиях проектирования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-4.3.3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Разработка комплектов конструкторской документации простых узлов и блоков на различных стадиях проектирования системы электропривода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57BFF" w:rsidRPr="009939AF" w:rsidTr="00DC0AE8">
        <w:trPr>
          <w:trHeight w:val="702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DC0AE8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технической эксплуатации электроустановок потребителей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57BFF" w:rsidRPr="009939AF" w:rsidTr="00DC0AE8">
        <w:trPr>
          <w:trHeight w:val="1266"/>
        </w:trPr>
        <w:tc>
          <w:tcPr>
            <w:tcW w:w="2660" w:type="dxa"/>
            <w:vMerge/>
          </w:tcPr>
          <w:p w:rsidR="00957BFF" w:rsidRPr="009939AF" w:rsidRDefault="00957BFF" w:rsidP="009939A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7BFF" w:rsidRPr="009939AF" w:rsidRDefault="00957BFF" w:rsidP="00DC0AE8">
            <w:pPr>
              <w:rPr>
                <w:rFonts w:eastAsia="Calibri" w:cs="Times New Roman"/>
                <w:sz w:val="20"/>
                <w:szCs w:val="20"/>
              </w:rPr>
            </w:pP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>ПК-4.1.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939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Типовые проектные решения по простым узлам, блокам системы электропривода, аналогичным подлежащим разработке</w:t>
            </w:r>
            <w:r w:rsidR="00DC0A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7BFF" w:rsidRPr="009939AF" w:rsidRDefault="00957BFF" w:rsidP="00957BF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939AF" w:rsidRPr="009939AF" w:rsidRDefault="009939AF" w:rsidP="00DC0AE8">
      <w:pPr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9939AF" w:rsidRPr="009939AF" w:rsidSect="009939A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480E37"/>
    <w:rsid w:val="005876BF"/>
    <w:rsid w:val="00957BFF"/>
    <w:rsid w:val="009939AF"/>
    <w:rsid w:val="00BC6BC0"/>
    <w:rsid w:val="00D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939A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9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939A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9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Бенин А.В.</dc:creator>
  <cp:lastModifiedBy>Бенин А.В.</cp:lastModifiedBy>
  <cp:revision>1</cp:revision>
  <dcterms:created xsi:type="dcterms:W3CDTF">2020-02-04T14:26:00Z</dcterms:created>
  <dcterms:modified xsi:type="dcterms:W3CDTF">2020-02-04T14:58:00Z</dcterms:modified>
</cp:coreProperties>
</file>