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color w:val="ff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Лекция 14-16. Принципы, методы, методики и технологии мониторинга социальных явлений (6 часов)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План:</w:t>
      </w:r>
    </w:p>
    <w:p>
      <w:pPr>
        <w:pStyle w:val="Normal(Web)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7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Понятие мониторинга.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7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2. Сущность и принципы мониторинга.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7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3. Показатели и индикаторы мониторинга социальных явлений.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0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21" w:right="0" w:firstLine="0"/>
        <w:jc w:val="center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1.Понятие мониторинга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Современные подходы к государственному регулированию социальной сферы требуют постоянного изучения социальных процессов, выявления как негативных, так и позитивных тенденций и ситуаций в их развитии. Для этого в системе государственного регулирования социальной сферы широко используется мониторинг, позволяющий исследовать сложные процессы, явления и объекты.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 xml:space="preserve">Мониторинг –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это научно обо­снованная система регулярного наблюдения, обеспечивающая сбор, обобщение и анализ информации в отношении исследуемого объекта и предоставление полученных дан­ных государственным, региональным и местным органам управления для принятия соответствующего решения.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Мониторинг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обеспечивает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сбор, систематизацию информации о состоянии исследуемого процесса (явления, объекта);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анализ данных и выявление тенденций, присущих исследуемым процессам (явлениям или объектам);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прогнозирование развития выявленных тенденций, а также возможных в перспективе проблем и трудностей для исследуемых процессов (явлений или объектов);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моделирование вариантов разрешения или предотвращения проблем исследуемых процессов (явлений или объектов) и обоснование выбора наиболее целесообразных вариан­тов решений.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Основными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задачами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мониторинга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являются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наблюдение за процессами (явлениями или объектами);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выявление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складывающихся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тенденций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прогнозирование складывающихся тенденций и их развития;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98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поиск способов предотвращения негативных тенденций и поддержания позитивных.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center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 xml:space="preserve">2. Сущность и принципы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социального  мониторинга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Именно социальный мониторинг обеспечивает эффективное управление социальными процессами и явлениями.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/>
          <w:iCs/>
          <w:sz w:val="24"/>
          <w:szCs w:val="24"/>
          <w:rtl w:val="off"/>
          <w:lang w:val="ru-RU" w:eastAsia="ru-RU"/>
        </w:rPr>
        <w:t xml:space="preserve">Объекты социального мониторинга: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социальные процессы и явления, которые могут влиять на характер экономического развития, политические ситуации, ход общественных преобразований в стране.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Например, развитие малого предпринимательства может способствовать формированию среднего класса.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/>
          <w:iCs/>
          <w:sz w:val="24"/>
          <w:szCs w:val="24"/>
          <w:rtl w:val="off"/>
          <w:lang w:val="ru-RU" w:eastAsia="ru-RU"/>
        </w:rPr>
        <w:t>Основные принципы мониторинга:</w:t>
      </w:r>
    </w:p>
    <w:p>
      <w:pPr>
        <w:pStyle w:val="Normal(Web)"/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полнота, системность и достоверность социальной информации; оперативность получения сведений и их систематическая актуализация;</w:t>
      </w:r>
    </w:p>
    <w:p>
      <w:pPr>
        <w:pStyle w:val="Normal(Web)"/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сопоставимость получаемых данных путем использования единой методологии сбора и анализа информации;</w:t>
      </w:r>
    </w:p>
    <w:p>
      <w:pPr>
        <w:pStyle w:val="Normal(Web)"/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сочетание обобщающих и дифференцированных оценок и выводов.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Социальный мониторинг связан с непосредственным изучением социального наблюдения в его естественных условиях.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 помощью мониторинга можно получать разнообразную информацию для анализа: социальной структуры экономики, социальной направленности проводимых реформ; социальной стратификации населения и основных тенденций ее изменения и других социальных явлений и процессов.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Особый интерес представляет мониторинг развития малого предпринимательства и влияние этого процесса на решение проблем занятости. Малое предпринимательство является важнейшим компонентом проводимых в России экономических реформ и может определять основные контуры социально-экономического развития не только страны в целом, но и регионов.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В условиях роста безработицы люди стали проявлять интерес к предпринимательской деятельности и самозанятости.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Социальный мониторинг позволяет фиксировать события и элементы человеческого поведения в момент их совершения, появления. Он дает представление о действиях людей в определенных социальных ситуациях.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Мониторинг предполагает изучение фактов, событий, результатов, связанных с объектом наблюдения. Систематическое наблюдение за состоянием социальных объектов требует обоснованной и планомерной организации сбора и анализа данных, необходимых для социального мониторинга.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При организации социального мониторинга можно ориентироваться на систему показателей, учитывающих сущность его основных объектов.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/>
          <w:iCs/>
          <w:sz w:val="24"/>
          <w:szCs w:val="24"/>
          <w:rtl w:val="off"/>
          <w:lang w:val="ru-RU" w:eastAsia="ru-RU"/>
        </w:rPr>
        <w:t xml:space="preserve">Показатели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объединяются в следующие подсистемы (блоки):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государственное управление;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расходы на социальные нужды;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политическая статистика;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население и социальная стратификация;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социальная инфраструктура;</w:t>
      </w:r>
    </w:p>
    <w:p>
      <w:pPr>
        <w:pStyle w:val="Normal(Web)"/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образ жизни.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center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3. Показатели и индикаторы мониторинга социальных явлений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Общесоциальные индикаторы, используемые при проведении мониторинга, весьма многообразны. С точки зрения экономики наибольший интерес имеют данные об экономической активности населения, самореализации людей в труде, старения (или омоложения) населения и др. 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Доля пожилых людей в общей численности населения России достигла 21%. В 36 регионах удельный вес пожилых и престарелых существенно превышает среднероссийские показатели. Территории страны, где он достигает значений от 26 до 28,5%, характеризуют как «зоны демографического бедствия».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В качестве пороговых мониторинговых индикаторов используются также данные о генетических изменениях (увеличение на 1-3% ежегодно врожденных уродств свидетельствует о том, что роковая черта пройдена); сокращении продолжительности жизни (пороговое значение обычно принимается за 70 лет); характере и динамике заболеваний населения; превышении допустимых коэффициентов загрязнения среды; потреблении отдельных видов продуктов.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Установлено, например, что относительно безопасное для генофонда потребление алкоголя составляет до 8 л чистого спирта на человека в год. В России его потребление более чем вдвое больше; это неминуемо отразится на будущих поколениях россиян, хотя и по-разному в различных регионах страны. Предметом мониторинга служит также структура потребления домашних хозяйств. Согласно оценкам, если из бюджета семьи ежемесячно тратится на питание 80% средств, то со временем может наступить деградация человека как личности и т. п.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Перспективным является использование индекса развития человеческого потенциала, индикаторов предпринимательского и инвестиционного климата на территории страны. Эти показатели достаточно сложны. Индекс развития человеческого потенциала, в частности, включает показатели: прогнозируемая при рождении продолжительность жизни; процент грамотного взрослого населения; количество обязательных лет обучения в школе; количество людей с высшим образованием на 1000 человек и др.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Относительно широко распространен мониторинг благосостояния населения на основе анализа потребительской корзины. В разных странах и регионах она различается существенно - и по набору товаров, услуг, и по стоимости. В России в нее включено около десятка основных предметов, в Люксембурге - 173, в Великобритании - 600 и т. д.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Мониторинг данного вида позволяет количественно оценивать такие категории, как бедность, нищета, прожиточный минимум и др. Анализ процессов маргинализации позволил, в частности, выделить среди тех, кто ниже черты бедности, различные группы и слои, относительно которых требуется проводить специфические меры социальной защиты, поддержки, а также стимулирования к самообеспечению.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Экономическим и политическим центром страны осуществляется мониторинг политических процессов, международных экономических связей и отношений, статуса России в мировом сообществе, а также отслеживается динамика развития регионов страны, оценивается мера развития и стагнации отдельных из них, действенность помощи по вертикали, основные характерные социальные и экономические процессы в регионах, соответствие индикаторов и показателей предельным уровням и др.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В регионах реализуются все основные виды общественных отношений и жизнедеятельности. Их социально-экономическое развитие проявляется как органическая часть глобальных (общемировых) и национальных процессов, однако при этом оно осуществляется с учетом региональных особенностей.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Специфическими объектами мониторинга в регионах являются:</w:t>
      </w:r>
    </w:p>
    <w:p>
      <w:pPr>
        <w:pStyle w:val="Normal(Web)"/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демографические процессы, в том числе естественное движение населения;</w:t>
      </w:r>
    </w:p>
    <w:p>
      <w:pPr>
        <w:pStyle w:val="Normal(Web)"/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состояние воздушного и водного бассейнов;</w:t>
      </w:r>
    </w:p>
    <w:p>
      <w:pPr>
        <w:pStyle w:val="Normal(Web)"/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качество питьевой воды;</w:t>
      </w:r>
    </w:p>
    <w:p>
      <w:pPr>
        <w:pStyle w:val="Normal(Web)"/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радиационное загрязнение;</w:t>
      </w:r>
    </w:p>
    <w:p>
      <w:pPr>
        <w:pStyle w:val="Normal(Web)"/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транспортное загрязнение (в крупных индустриальных центрах и городских агломерациях) и др.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Предметом экономического мониторинга регионов все более становятся: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экономическая динамика в целом;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устойчивость предприятий экспортной ориентации на внешних рынках, процессы потери (уступка) или завоевания ими новых рыночных позиций;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криминализация экономических структур;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изменение трудовой мотивации населения;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движение финансовых потоков и финансового обеспечения, прежде всего, отраслей специализации и социальной сферы;</w:t>
      </w:r>
    </w:p>
    <w:p>
      <w:pPr>
        <w:pStyle w:val="Normal(Web)"/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720" w:right="0" w:hanging="36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состояние технологического потенциала и др.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Перечень статистических показателей социально-экономического положения муниципальных образований утвержден постановлением Госкомстата России от 29 марта 1996 г. № 24. Они применяются для контроля ситуации и принятия оперативных мер.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Для целей же стратегических, своевременного выявления и устранения факторов, сдерживающих развитие муниципальных образований в средне- и долговременной перспективе, целесообразно использовать также иные индикаторы и показатели. Их разработка активно ведется во многих странах мира.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В связи с этим представляется интересным подход Центра ООН по исследованию населенных пунктов - НАВIТАТ. Для характеристики развития города предложены: основные показатели (использование земли, структура собственности, население, распределение дохода, размер и темпы формирования домохозяйств и др.); показатели социально-экономического развития (занятость населения, ожидаемая продолжительность жизни, уровень грамотности и др.); данные об инфраструктуре, транспорте, состоянии природной среды, качестве местного управления и др. </w:t>
      </w:r>
    </w:p>
    <w:p/>
    <w:sectPr>
      <w:footnotePr/>
      <w:footnotePr/>
      <w:type w:val="nextPage"/>
      <w:pgSz w:w="11906" w:h="16838" w:orient="portrait"/>
      <w:pgMar w:top="1440" w:right="1044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2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48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68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588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308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28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49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189" w:hanging="360"/>
      </w:pPr>
      <w:rPr/>
    </w:lvl>
  </w:abstractNum>
  <w:abstractNum w:abstractNumId="1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2">
    <w:multiLevelType w:val="hybridMultilevel"/>
    <w:lvl w:ilvl="0" w:tentative="1">
      <w:start w:val="1"/>
      <w:numFmt w:val="bullet"/>
      <w:suff w:val="tab"/>
      <w:lvlText w:val="-"/>
      <w:lvlJc w:val="left"/>
      <w:pPr>
        <w:ind w:left="720" w:hanging="360"/>
      </w:pPr>
      <w:rPr>
        <w:rFonts w:ascii="Arial" w:hAnsi="Arial"/>
        <w:b w:val="off"/>
        <w:bCs w:val="off"/>
        <w:i w:val="off"/>
        <w:iCs w:val="off"/>
        <w:w w:val="102"/>
        <w:sz w:val="27"/>
        <w:szCs w:val="27"/>
        <w:rtl w:val="off"/>
        <w:lang w:val="ru-RU" w:eastAsia="en-US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  <w:rtl w:val="off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  <w:rtl w:val="off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  <w:rtl w:val="off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  <w:rtl w:val="off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  <w:rtl w:val="off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  <w:rtl w:val="off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  <w:rtl w:val="off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  <w:rtl w:val="off"/>
      </w:rPr>
    </w:lvl>
  </w:abstractNum>
  <w:abstractNum w:abstractNumId="3">
    <w:multiLevelType w:val="hybridMultilevel"/>
    <w:lvl w:ilvl="0" w:tentative="1">
      <w:start w:val="1"/>
      <w:numFmt w:val="bullet"/>
      <w:suff w:val="tab"/>
      <w:lvlText w:val="-"/>
      <w:lvlJc w:val="left"/>
      <w:pPr>
        <w:ind w:left="720" w:hanging="360"/>
      </w:pPr>
      <w:rPr>
        <w:rFonts w:ascii="Arial" w:hAnsi="Arial"/>
        <w:b w:val="off"/>
        <w:bCs w:val="off"/>
        <w:i w:val="off"/>
        <w:iCs w:val="off"/>
        <w:w w:val="102"/>
        <w:sz w:val="27"/>
        <w:szCs w:val="27"/>
        <w:rtl w:val="off"/>
        <w:lang w:val="ru-RU" w:eastAsia="en-US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  <w:rtl w:val="off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  <w:rtl w:val="off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  <w:rtl w:val="off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  <w:rtl w:val="off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  <w:rtl w:val="off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  <w:rtl w:val="off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  <w:rtl w:val="off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  <w:rtl w:val="off"/>
      </w:rPr>
    </w:lvl>
  </w:abstractNum>
  <w:abstractNum w:abstractNumId="4">
    <w:multiLevelType w:val="hybridMultilevel"/>
    <w:lvl w:ilvl="0" w:tentative="1">
      <w:start w:val="1"/>
      <w:numFmt w:val="bullet"/>
      <w:suff w:val="tab"/>
      <w:lvlText w:val="-"/>
      <w:lvlJc w:val="left"/>
      <w:pPr>
        <w:ind w:left="720" w:hanging="360"/>
      </w:pPr>
      <w:rPr>
        <w:rFonts w:ascii="Arial" w:hAnsi="Arial"/>
        <w:b w:val="off"/>
        <w:bCs w:val="off"/>
        <w:i w:val="off"/>
        <w:iCs w:val="off"/>
        <w:w w:val="102"/>
        <w:sz w:val="27"/>
        <w:szCs w:val="27"/>
        <w:rtl w:val="off"/>
        <w:lang w:val="ru-RU" w:eastAsia="en-US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  <w:rtl w:val="off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  <w:rtl w:val="off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  <w:rtl w:val="off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  <w:rtl w:val="off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  <w:rtl w:val="off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  <w:rtl w:val="off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  <w:rtl w:val="off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  <w:rtl w:val="off"/>
      </w:rPr>
    </w:lvl>
  </w:abstractNum>
  <w:abstractNum w:abstractNumId="5">
    <w:multiLevelType w:val="hybridMultilevel"/>
    <w:lvl w:ilvl="0" w:tentative="1">
      <w:start w:val="1"/>
      <w:numFmt w:val="bullet"/>
      <w:suff w:val="tab"/>
      <w:lvlText w:val="-"/>
      <w:lvlJc w:val="left"/>
      <w:pPr>
        <w:ind w:left="720" w:hanging="360"/>
      </w:pPr>
      <w:rPr>
        <w:rFonts w:ascii="Arial" w:hAnsi="Arial"/>
        <w:b w:val="off"/>
        <w:bCs w:val="off"/>
        <w:i w:val="off"/>
        <w:iCs w:val="off"/>
        <w:w w:val="102"/>
        <w:sz w:val="27"/>
        <w:szCs w:val="27"/>
        <w:rtl w:val="off"/>
        <w:lang w:val="ru-RU" w:eastAsia="en-US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  <w:rtl w:val="off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  <w:rtl w:val="off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  <w:rtl w:val="off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  <w:rtl w:val="off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  <w:rtl w:val="off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  <w:rtl w:val="off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  <w:rtl w:val="off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  <w:rtl w:val="off"/>
      </w:rPr>
    </w:lvl>
  </w:abstractNum>
  <w:num w:numId="1">
    <w:abstractNumId w:val="0"/>
  </w:num>
  <w:num w:numId="2">
    <w:abstractNumId w:val="1"/>
    <w:lvlOverride w:ilvl="0">
      <w:lvl w:ilvl="0" w:tentative="1">
        <w:numFmt w:val="bullet"/>
        <w:lvlText w:val="·"/>
        <w:lvlJc w:val="left"/>
        <w:pPr/>
        <w:rPr/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100" w:after="100" w:line="240" w:lineRule="auto"/>
      <w:ind w:left="0" w:right="0" w:firstLine="0"/>
    </w:pPr>
    <w:rPr>
      <w:rFonts w:ascii="Times New Roman"/>
      <w:sz w:val="24"/>
      <w:szCs w:val="24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