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color w:val="ff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Лекция 14-16. Принципы, методы, методики и технологии мониторинга социальных явлений (6 часов)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План:</w:t>
      </w:r>
    </w:p>
    <w:p>
      <w:pPr>
        <w:pStyle w:val="Normal(Web)"/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7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Понятие мониторинга.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7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2. Сущность и принципы мониторинга.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76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3. Показатели и индикаторы мониторинга социальных явлений.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0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21" w:right="0" w:firstLine="0"/>
        <w:jc w:val="center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1.Понятие мониторинга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Современные подходы к государственному регулированию социальной сферы требуют постоянного изучения социальных процессов, выявления как негативных, так и позитивных тенденций и ситуаций в их развитии. Для этого в системе государственного регулирования социальной сферы широко используется мониторинг, позволяющий исследовать сложные процессы, явления и объекты.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b/>
          <w:i/>
          <w:color w:val="000000"/>
          <w:sz w:val="24"/>
          <w:szCs w:val="22"/>
          <w:rtl w:val="off"/>
          <w:lang w:val="ru-RU" w:eastAsia="ru-RU"/>
        </w:rPr>
        <w:t xml:space="preserve">Мониторинг –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 xml:space="preserve">это научно обо­снованная система регулярного наблюдения, обеспечивающая сбор, обобщение и анализ информации в отношении исследуемого объекта и предоставление полученных дан­ных государственным, региональным и местным органам управления для принятия соответствующего решения.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Мониторинг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обеспечивает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сбор, систематизацию информации о состоянии исследуемого процесса (явления, объекта);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анализ данных и выявление тенденций, присущих исследуемым процессам (явлениям или объектам);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прогнозирование развития выявленных тенденций, а также возможных в перспективе проблем и трудностей для исследуемых процессов (явлений или объектов);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моделирование вариантов разрешения или предотвращения проблем исследуемых процессов (явлений или объектов) и обоснование выбора наиболее целесообразных вариан­тов решений.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Основными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задачами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мониторинга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являются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наблюдение за процессами (явлениями или объектами);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выявление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складывающихся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 xml:space="preserve"> 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тенденций</w:t>
      </w: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en-US" w:eastAsia="ru-RU"/>
        </w:rPr>
        <w:t>;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прогнозирование складывающихся тенденций и их развития;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698"/>
        <w:jc w:val="both"/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2"/>
          <w:rtl w:val="off"/>
          <w:lang w:val="ru-RU" w:eastAsia="ru-RU"/>
        </w:rPr>
        <w:t>поиск способов предотвращения негативных тенденций и поддержания позитивных.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center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 xml:space="preserve">2. Сущность и принципы </w:t>
      </w: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социального  мониторинга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Именно социальный мониторинг обеспечивает эффективное управление социальными процессами и явлениями.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/>
          <w:iCs/>
          <w:sz w:val="24"/>
          <w:szCs w:val="24"/>
          <w:rtl w:val="off"/>
          <w:lang w:val="ru-RU" w:eastAsia="ru-RU"/>
        </w:rPr>
        <w:t xml:space="preserve">Объекты социального мониторинга: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социальные процессы и явления, которые могут влиять на характер экономического развития, политические ситуации, ход общественных преобразований в стране.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Например, развитие малого предпринимательства может способствовать формированию среднего класса.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i/>
          <w:i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/>
          <w:iCs/>
          <w:sz w:val="24"/>
          <w:szCs w:val="24"/>
          <w:rtl w:val="off"/>
          <w:lang w:val="ru-RU" w:eastAsia="ru-RU"/>
        </w:rPr>
        <w:t>Основные принципы мониторинга:</w:t>
      </w:r>
    </w:p>
    <w:p>
      <w:pPr>
        <w:pStyle w:val="Normal(Web)"/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полнота, системность и достоверность социальной информации; оперативность получения сведений и их систематическая актуализация;</w:t>
      </w:r>
    </w:p>
    <w:p>
      <w:pPr>
        <w:pStyle w:val="Normal(Web)"/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сопоставимость получаемых данных путем использования единой методологии сбора и анализа информации;</w:t>
      </w:r>
    </w:p>
    <w:p>
      <w:pPr>
        <w:pStyle w:val="Normal(Web)"/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сочетание обобщающих и дифференцированных оценок и выводов.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Социальный мониторинг связан с непосредственным изучением социального наблюдения в его естественных условиях.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 помощью мониторинга можно получать разнообразную информацию для анализа: социальной структуры экономики, социальной направленности проводимых реформ; социальной стратификации населения и основных тенденций ее изменения и других социальных явлений и процессов.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Особый интерес представляет мониторинг развития малого предпринимательства и влияние этого процесса на решение проблем занятости. Малое предпринимательство является важнейшим компонентом проводимых в России экономических реформ и может определять основные контуры социально-экономического развития не только страны в целом, но и регионов.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В условиях роста безработицы люди стали проявлять интерес к предпринимательской деятельности и самозанятости.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Социальный мониторинг позволяет фиксировать события и элементы человеческого поведения в момент их совершения, появления. Он дает представление о действиях людей в определенных социальных ситуациях.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Мониторинг предполагает изучение фактов, событий, результатов, связанных с объектом наблюдения. Систематическое наблюдение за состоянием социальных объектов требует обоснованной и планомерной организации сбора и анализа данных, необходимых для социального мониторинга.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При организации социального мониторинга можно ориентироваться на систему показателей, учитывающих сущность его основных объектов.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i/>
          <w:iCs/>
          <w:sz w:val="24"/>
          <w:szCs w:val="24"/>
          <w:rtl w:val="off"/>
          <w:lang w:val="ru-RU" w:eastAsia="ru-RU"/>
        </w:rPr>
        <w:t xml:space="preserve">Показатели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объединяются в следующие подсистемы (блоки):</w:t>
      </w:r>
    </w:p>
    <w:p>
      <w:pPr>
        <w:pStyle w:val="Normal(Web)"/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государственное управление;</w:t>
      </w:r>
    </w:p>
    <w:p>
      <w:pPr>
        <w:pStyle w:val="Normal(Web)"/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расходы на социальные нужды;</w:t>
      </w:r>
    </w:p>
    <w:p>
      <w:pPr>
        <w:pStyle w:val="Normal(Web)"/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политическая статистика;</w:t>
      </w:r>
    </w:p>
    <w:p>
      <w:pPr>
        <w:pStyle w:val="Normal(Web)"/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население и социальная стратификация;</w:t>
      </w:r>
    </w:p>
    <w:p>
      <w:pPr>
        <w:pStyle w:val="Normal(Web)"/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социальная инфраструктура;</w:t>
      </w:r>
    </w:p>
    <w:p>
      <w:pPr>
        <w:pStyle w:val="Normal(Web)"/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образ жизни.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center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3. Показатели и индикаторы мониторинга социальных явлений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Общесоциальные индикаторы, используемые при проведении мониторинга, весьма многообразны. С точки зрения экономики наибольший интерес имеют данные об экономической активности населения, самореализации людей в труде, старения (или омоложения) населения и др.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Доля пожилых людей в общей численности населения России достигла 21%. В 36 регионах удельный вес пожилых и престарелых существенно превышает среднероссийские показатели. Территории страны, где он достигает значений от 26 до 28,5%, характеризуют как «зоны демографического бедствия».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В качестве пороговых мониторинговых индикаторов используются также данные о генетических изменениях (увеличение на 1-3% ежегодно врожденных уродств свидетельствует о том, что роковая черта пройдена); сокращении продолжительности жизни (пороговое значение обычно принимается за 70 лет); характере и динамике заболеваний населения; превышении допустимых коэффициентов загрязнения среды; потреблении отдельных видов продуктов.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Установлено, например, что относительно безопасное для генофонда потребление алкоголя составляет до 8 л чистого спирта на человека в год. В России его потребление более чем вдвое больше; это неминуемо отразится на будущих поколениях россиян, хотя и по-разному в различных регионах страны. Предметом мониторинга служит также структура потребления домашних хозяйств. Согласно оценкам, если из бюджета семьи ежемесячно тратится на питание 80% средств, то со временем может наступить деградация человека как личности и т. п.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Перспективным является использование индекса развития человеческого потенциала, индикаторов предпринимательского и инвестиционного климата на территории страны. Эти показатели достаточно сложны. Индекс развития человеческого потенциала, в частности, включает показатели: прогнозируемая при рождении продолжительность жизни; процент грамотного взрослого населения; количество обязательных лет обучения в школе; количество людей с высшим образованием на 1000 человек и др.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Относительно широко распространен мониторинг благосостояния населения на основе анализа потребительской корзины. В разных странах и регионах она различается существенно - и по набору товаров, услуг, и по стоимости. В России в нее включено около десятка основных предметов, в Люксембурге - 173, в Великобритании - 600 и т. д.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Мониторинг данного вида позволяет количественно оценивать такие категории, как бедность, нищета, прожиточный минимум и др. Анализ процессов маргинализации позволил, в частности, выделить среди тех, кто ниже черты бедности, различные группы и слои, относительно которых требуется проводить специфические меры социальной защиты, поддержки, а также стимулирования к самообеспечению.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Экономическим и политическим центром страны осуществляется мониторинг политических процессов, международных экономических связей и отношений, статуса России в мировом сообществе, а также отслеживается динамика развития регионов страны, оценивается мера развития и стагнации отдельных из них, действенность помощи по вертикали, основные характерные социальные и экономические процессы в регионах, соответствие индикаторов и показателей предельным уровням и др.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В регионах реализуются все основные виды общественных отношений и жизнедеятельности. Их социально-экономическое развитие проявляется как органическая часть глобальных (общемировых) и национальных процессов, однако при этом оно осуществляется с учетом региональных особенностей.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Специфическими объектами мониторинга в регионах являются:</w:t>
      </w:r>
    </w:p>
    <w:p>
      <w:pPr>
        <w:pStyle w:val="Normal(Web)"/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демографические процессы, в том числе естественное движение населения;</w:t>
      </w:r>
    </w:p>
    <w:p>
      <w:pPr>
        <w:pStyle w:val="Normal(Web)"/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состояние воздушного и водного бассейнов;</w:t>
      </w:r>
    </w:p>
    <w:p>
      <w:pPr>
        <w:pStyle w:val="Normal(Web)"/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качество питьевой воды;</w:t>
      </w:r>
    </w:p>
    <w:p>
      <w:pPr>
        <w:pStyle w:val="Normal(Web)"/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радиационное загрязнение;</w:t>
      </w:r>
    </w:p>
    <w:p>
      <w:pPr>
        <w:pStyle w:val="Normal(Web)"/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транспортное загрязнение (в крупных индустриальных центрах и городских агломерациях) и др.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Предметом экономического мониторинга регионов все более становятся:</w:t>
      </w:r>
    </w:p>
    <w:p>
      <w:pPr>
        <w:pStyle w:val="Normal(Web)"/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экономическая динамика в целом;</w:t>
      </w:r>
    </w:p>
    <w:p>
      <w:pPr>
        <w:pStyle w:val="Normal(Web)"/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устойчивость предприятий экспортной ориентации на внешних рынках, процессы потери (уступка) или завоевания ими новых рыночных позиций;</w:t>
      </w:r>
    </w:p>
    <w:p>
      <w:pPr>
        <w:pStyle w:val="Normal(Web)"/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криминализация экономических структур;</w:t>
      </w:r>
    </w:p>
    <w:p>
      <w:pPr>
        <w:pStyle w:val="Normal(Web)"/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изменение трудовой мотивации населения;</w:t>
      </w:r>
    </w:p>
    <w:p>
      <w:pPr>
        <w:pStyle w:val="Normal(Web)"/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движение финансовых потоков и финансового обеспечения, прежде всего, отраслей специализации и социальной сферы;</w:t>
      </w:r>
    </w:p>
    <w:p>
      <w:pPr>
        <w:pStyle w:val="Normal(Web)"/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720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состояние технологического потенциала и др.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Перечень статистических показателей социально-экономического положения муниципальных образований утвержден постановлением Госкомстата России от 29 марта 1996 г. № 24. Они применяются для контроля ситуации и принятия оперативных мер.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Для целей же стратегических, своевременного выявления и устранения факторов, сдерживающих развитие муниципальных образований в средне- и долговременной перспективе, целесообразно использовать также иные индикаторы и показатели. Их разработка активно ведется во многих странах мира.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709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В связи с этим представляется интересным подход Центра ООН по исследованию населенных пунктов - НАВIТАТ. Для характеристики развития города предложены: основные показатели (использование земли, структура собственности, население, распределение дохода, размер и темпы формирования домохозяйств и др.); показатели социально-экономического развития (занятость населения, ожидаемая продолжительность жизни, уровень грамотности и др.); данные об инфраструктуре, транспорте, состоянии природной среды, качестве местного управления и др. </w:t>
      </w:r>
    </w:p>
    <w:p/>
    <w:sectPr>
      <w:footnotePr/>
      <w:footnotePr/>
      <w:type w:val="nextPage"/>
      <w:pgSz w:w="11906" w:h="16838" w:orient="portrait"/>
      <w:pgMar w:top="1440" w:right="1044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428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148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868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3588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308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028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749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469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189" w:hanging="360"/>
      </w:pPr>
      <w:rPr/>
    </w:lvl>
  </w:abstractNum>
  <w:abstractNum w:abstractNumId="1">
    <w:multiLevelType w:val="multilevel"/>
    <w:lvl w:ilvl="0" w:tentative="1">
      <w:start w:val="1"/>
      <w:numFmt w:val="decimal"/>
      <w:suff w:val="tab"/>
      <w:lvlJc w:val="left"/>
      <w:pPr/>
      <w:rPr/>
    </w:lvl>
    <w:lvl w:ilvl="1" w:tentative="1">
      <w:start w:val="1"/>
      <w:numFmt w:val="decimal"/>
      <w:suff w:val="tab"/>
      <w:lvlJc w:val="left"/>
      <w:pPr/>
      <w:rPr/>
    </w:lvl>
    <w:lvl w:ilvl="2" w:tentative="1">
      <w:start w:val="1"/>
      <w:numFmt w:val="decimal"/>
      <w:suff w:val="tab"/>
      <w:lvlJc w:val="left"/>
      <w:pPr/>
      <w:rPr/>
    </w:lvl>
    <w:lvl w:ilvl="3" w:tentative="1">
      <w:start w:val="1"/>
      <w:numFmt w:val="decimal"/>
      <w:suff w:val="tab"/>
      <w:lvlJc w:val="left"/>
      <w:pPr/>
      <w:rPr/>
    </w:lvl>
    <w:lvl w:ilvl="4" w:tentative="1">
      <w:start w:val="1"/>
      <w:numFmt w:val="decimal"/>
      <w:suff w:val="tab"/>
      <w:lvlJc w:val="left"/>
      <w:pPr/>
      <w:rPr/>
    </w:lvl>
    <w:lvl w:ilvl="5" w:tentative="1">
      <w:start w:val="1"/>
      <w:numFmt w:val="decimal"/>
      <w:suff w:val="tab"/>
      <w:lvlJc w:val="left"/>
      <w:pPr/>
      <w:rPr/>
    </w:lvl>
    <w:lvl w:ilvl="6" w:tentative="1">
      <w:start w:val="1"/>
      <w:numFmt w:val="decimal"/>
      <w:suff w:val="tab"/>
      <w:lvlJc w:val="left"/>
      <w:pPr/>
      <w:rPr/>
    </w:lvl>
    <w:lvl w:ilvl="7" w:tentative="1">
      <w:start w:val="1"/>
      <w:numFmt w:val="decimal"/>
      <w:suff w:val="tab"/>
      <w:lvlJc w:val="left"/>
      <w:pPr/>
      <w:rPr/>
    </w:lvl>
    <w:lvl w:ilvl="8" w:tentative="1">
      <w:start w:val="1"/>
      <w:numFmt w:val="decimal"/>
      <w:suff w:val="tab"/>
      <w:lvlJc w:val="left"/>
      <w:pPr/>
      <w:rPr/>
    </w:lvl>
  </w:abstractNum>
  <w:abstractNum w:abstractNumId="2">
    <w:multiLevelType w:val="hybridMultilevel"/>
    <w:lvl w:ilvl="0" w:tentative="1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/>
        <w:b w:val="off"/>
        <w:bCs w:val="off"/>
        <w:i w:val="off"/>
        <w:iCs w:val="off"/>
        <w:w w:val="102"/>
        <w:sz w:val="27"/>
        <w:szCs w:val="27"/>
        <w:rtl w:val="off"/>
        <w:lang w:val="ru-RU" w:eastAsia="en-US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/>
        <w:rtl w:val="off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  <w:rtl w:val="off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  <w:rtl w:val="off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/>
        <w:rtl w:val="off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  <w:rtl w:val="off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  <w:rtl w:val="off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/>
        <w:rtl w:val="off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  <w:rtl w:val="off"/>
      </w:rPr>
    </w:lvl>
  </w:abstractNum>
  <w:abstractNum w:abstractNumId="3">
    <w:multiLevelType w:val="hybridMultilevel"/>
    <w:lvl w:ilvl="0" w:tentative="1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/>
        <w:b w:val="off"/>
        <w:bCs w:val="off"/>
        <w:i w:val="off"/>
        <w:iCs w:val="off"/>
        <w:w w:val="102"/>
        <w:sz w:val="27"/>
        <w:szCs w:val="27"/>
        <w:rtl w:val="off"/>
        <w:lang w:val="ru-RU" w:eastAsia="en-US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/>
        <w:rtl w:val="off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  <w:rtl w:val="off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  <w:rtl w:val="off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/>
        <w:rtl w:val="off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  <w:rtl w:val="off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  <w:rtl w:val="off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/>
        <w:rtl w:val="off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  <w:rtl w:val="off"/>
      </w:rPr>
    </w:lvl>
  </w:abstractNum>
  <w:abstractNum w:abstractNumId="4">
    <w:multiLevelType w:val="hybridMultilevel"/>
    <w:lvl w:ilvl="0" w:tentative="1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/>
        <w:b w:val="off"/>
        <w:bCs w:val="off"/>
        <w:i w:val="off"/>
        <w:iCs w:val="off"/>
        <w:w w:val="102"/>
        <w:sz w:val="27"/>
        <w:szCs w:val="27"/>
        <w:rtl w:val="off"/>
        <w:lang w:val="ru-RU" w:eastAsia="en-US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/>
        <w:rtl w:val="off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  <w:rtl w:val="off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  <w:rtl w:val="off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/>
        <w:rtl w:val="off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  <w:rtl w:val="off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  <w:rtl w:val="off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/>
        <w:rtl w:val="off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  <w:rtl w:val="off"/>
      </w:rPr>
    </w:lvl>
  </w:abstractNum>
  <w:abstractNum w:abstractNumId="5">
    <w:multiLevelType w:val="hybridMultilevel"/>
    <w:lvl w:ilvl="0" w:tentative="1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/>
        <w:b w:val="off"/>
        <w:bCs w:val="off"/>
        <w:i w:val="off"/>
        <w:iCs w:val="off"/>
        <w:w w:val="102"/>
        <w:sz w:val="27"/>
        <w:szCs w:val="27"/>
        <w:rtl w:val="off"/>
        <w:lang w:val="ru-RU" w:eastAsia="en-US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/>
        <w:rtl w:val="off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  <w:rtl w:val="off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  <w:rtl w:val="off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/>
        <w:rtl w:val="off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  <w:rtl w:val="off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  <w:rtl w:val="off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/>
        <w:rtl w:val="off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  <w:rtl w:val="off"/>
      </w:rPr>
    </w:lvl>
  </w:abstractNum>
  <w:num w:numId="1">
    <w:abstractNumId w:val="0"/>
  </w:num>
  <w:num w:numId="2">
    <w:abstractNumId w:val="1"/>
    <w:lvlOverride w:ilvl="0">
      <w:lvl w:ilvl="0" w:tentative="1">
        <w:numFmt w:val="bullet"/>
        <w:lvlText w:val="·"/>
        <w:lvlJc w:val="left"/>
        <w:pPr/>
        <w:rPr/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unhideWhenUsed w:val="on"/>
    <w:pPr>
      <w:framePr w:w="0" w:h="0" w:vAnchor="margin" w:hAnchor="text" w:x="0" w:y="0"/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  <w:bar w:val="none" w:sz="4" w:space="0"/>
      </w:pBdr>
      <w:shd w:val="clear" w:fill="auto"/>
      <w:spacing w:before="100" w:after="100" w:line="240" w:lineRule="auto"/>
      <w:ind w:left="0" w:right="0" w:firstLine="0"/>
    </w:pPr>
    <w:rPr>
      <w:rFonts w:ascii="Times New Roman"/>
      <w:sz w:val="24"/>
      <w:szCs w:val="24"/>
      <w:rtl w:val="o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