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11 </w:t>
      </w: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en-US"/>
        </w:rPr>
        <w:t>Коммуникативные, образовательные, этнические, конфессиональные и другие барьеры в проведении психологического просвещения, их преодоление</w:t>
      </w:r>
      <w:r>
        <w:rPr>
          <w:rFonts w:ascii="Times New Roman" w:cs="Times New Roman" w:eastAsia="Times New Roman"/>
          <w:bCs/>
          <w:sz w:val="24"/>
          <w:szCs w:val="24"/>
          <w:rtl w:val="off"/>
          <w:lang w:val="ru-RU" w:eastAsia="en-US"/>
        </w:rPr>
        <w:t xml:space="preserve"> (2</w:t>
      </w:r>
      <w:r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  <w:t xml:space="preserve">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sz w:val="24"/>
          <w:szCs w:val="24"/>
          <w:rtl w:val="off"/>
          <w:lang w:val="ru-RU" w:eastAsia="ru-RU"/>
        </w:rPr>
        <w:t>Темы творческих заданий на выбор: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  <w:t>а) Технологии привлечения к психологическому просвещению граждан, успешно завершивших программы психологической помощи.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  <w:t xml:space="preserve">б) Наглядные материалы для психологического просвещения.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  <w:t xml:space="preserve">в) </w:t>
      </w:r>
      <w:r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  <w:t>Способы преодоления барьеров в проведении психологического просвещения.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20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Cs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Cs/>
          <w:iCs/>
          <w:sz w:val="24"/>
          <w:szCs w:val="24"/>
          <w:rtl w:val="off"/>
          <w:lang w:val="ru-RU" w:eastAsia="en-US"/>
        </w:rPr>
        <w:t>1.Барьеры в проведении психологического просвещения.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Cs/>
          <w:iCs/>
          <w:sz w:val="24"/>
          <w:szCs w:val="24"/>
          <w:rtl w:val="off"/>
          <w:lang w:val="ru-RU" w:eastAsia="en-US"/>
        </w:rPr>
        <w:t>2.Способы преодоления барьеров в проведении психологического просвещения.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7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7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7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82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