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theme="minorBidi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 xml:space="preserve">Практическое занятие 10 </w:t>
      </w: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en-US"/>
        </w:rPr>
        <w:t>Групповые и индивидуальные информационные консультации о возможности получения психологических услуг</w:t>
      </w:r>
      <w:r>
        <w:rPr>
          <w:rFonts w:ascii="Times New Roman" w:cstheme="minorBidi" w:eastAsiaTheme="minorHAnsi"/>
          <w:b/>
          <w:sz w:val="22"/>
          <w:szCs w:val="22"/>
          <w:rtl w:val="off"/>
          <w:lang w:val="ru-RU" w:eastAsia="en-US"/>
        </w:rPr>
        <w:t xml:space="preserve"> </w:t>
      </w:r>
      <w:r>
        <w:rPr>
          <w:rFonts w:ascii="Times New Roman" w:cstheme="minorBidi" w:eastAsiaTheme="minorHAnsi"/>
          <w:b/>
          <w:sz w:val="24"/>
          <w:szCs w:val="24"/>
          <w:rtl w:val="off"/>
          <w:lang w:val="ru-RU" w:eastAsia="en-US"/>
        </w:rPr>
        <w:t>(2 часа).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В начале занятия преподаватель знакомит обучающихся с учебными вопросами занятия.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обсуждаются основные требования к разработке творческого задания по заданной теме.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theme="minorBidi" w:eastAsiaTheme="minorHAnsi"/>
          <w:sz w:val="24"/>
          <w:szCs w:val="24"/>
          <w:rtl w:val="off"/>
          <w:lang w:val="ru-RU" w:eastAsia="ru-RU"/>
        </w:rPr>
      </w:pPr>
      <w:r>
        <w:rPr>
          <w:rFonts w:ascii="Times New Roman" w:cstheme="minorBidi" w:eastAsiaTheme="minorHAnsi"/>
          <w:sz w:val="24"/>
          <w:szCs w:val="24"/>
          <w:rtl w:val="off"/>
          <w:lang w:val="ru-RU" w:eastAsia="ru-RU"/>
        </w:rPr>
        <w:t xml:space="preserve">Темы творческого задания на выбор: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theme="minorBidi" w:eastAsiaTheme="minorHAnsi"/>
          <w:sz w:val="24"/>
          <w:szCs w:val="24"/>
          <w:rtl w:val="off"/>
          <w:lang w:val="ru-RU" w:eastAsia="ru-RU"/>
        </w:rPr>
      </w:pPr>
      <w:r>
        <w:rPr>
          <w:rFonts w:ascii="Times New Roman" w:cstheme="minorBidi" w:eastAsiaTheme="minorHAnsi"/>
          <w:sz w:val="24"/>
          <w:szCs w:val="24"/>
          <w:rtl w:val="off"/>
          <w:lang w:val="ru-RU" w:eastAsia="ru-RU"/>
        </w:rPr>
        <w:t>а) «Технологии подготовки для СМИ информации о психологических услугах в социальной сфере (ролики, передачи на теле- и радиоканалах и т. д.)»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theme="minorBidi" w:eastAsiaTheme="minorHAnsi"/>
          <w:bCs/>
          <w:sz w:val="24"/>
          <w:szCs w:val="24"/>
          <w:rtl w:val="off"/>
          <w:lang w:val="ru-RU" w:eastAsia="ru-RU"/>
        </w:rPr>
      </w:pPr>
      <w:r>
        <w:rPr>
          <w:rFonts w:ascii="Times New Roman" w:cstheme="minorBidi" w:eastAsiaTheme="minorHAnsi"/>
          <w:sz w:val="24"/>
          <w:szCs w:val="24"/>
          <w:rtl w:val="off"/>
          <w:lang w:val="ru-RU" w:eastAsia="ru-RU"/>
        </w:rPr>
        <w:t>б) «Технологии проведения групповых и индивидуальных информационных консультаций о возможности получения психологических услуг».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Далее обучающиеся разрабатывают в рамках самостоятельной работы творческое задание по заданной теме (см. фонд оценочных средств по дисциплине).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Творческие задания размещаются в </w:t>
      </w: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СДО, раздел «Текущий контроль», в сроки, согласно графика текущего контроля успеваемости обучающихся.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Требования к оформлению творческого задания: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– не менее 5-7 страниц машинописного текста по теме творческого задания,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структура оформления текста творческого задания зависит от темы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список литературы не менее 5 источников.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обучающиеся представляют выполненное творческое задание.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Задачи докладчика: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раскрыть тему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подготовиться к устному выступлению в течение 5-7 минут;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ответить на вопросы аудитории и преподавателя.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Далее обсуждаются вопросы практического занятия: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428" w:right="0" w:hanging="360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Групповые информационные консультации о возможности получения психологических услуг.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428" w:right="0" w:hanging="360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Индивидуальные информационные консультации о возможности получения психологических услуг.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Методы обучения – учебная дискуссия, метод иллюстраций.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Средства обучения – вербальные, визуальные, символические.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Интерактивные формы обучения – дебаты.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44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Бушев, А. Б. Информационно-коммуникационные технологии в профессиональной деятельности: сетевой дискурс / А. Б. Бушев. — Санкт-Петербург: Лань, 2023. — 176 с. — ISBN 978-5-507-45388-7. — Текст: электронный // Лань: электронно-библиотечная система. — URL: https://e.lanbook.com/book/302774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44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2. Головлева, Е. Л. Корпоративные коммуникации: история и современность: учебник / Е. Л. Головлева. — Москва: МосГУ, 2021. — 190 с. — ISBN 978-5-907410-47-3. — Текст: электронный // Лань: электронно-библиотечная система. — URL: https://e.lanbook.com/book/259334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3. Городнова, А. А.  Развитие информационного общества: учебник и практикум для вузов / А. А. Городнова. — Москва: Издательство Юрайт, 2023. — 243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978-5-9916-9437-7.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: </w:t>
      </w:r>
      <w:r>
        <w:fldChar w:fldCharType="begin"/>
      </w:r>
      <w:r>
        <w:instrText xml:space="preserve">HYPERLINK "https://urait.ru/bcode/512190"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/512190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4. Дмитриева, С. И. Система внутренних и внешних коммуникаций в организации: учебное пособие / С. И. Дмитриева. — Москва: РТУ МИРЭА, 2020. — 69 с. — Текст: электронный // Лань: электронно-библиотечная система. — URL: https://e.lanbook.com/book/163818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5. Психология и этика делового общения: учебник и практикум для вузов / В. Н. Лавриненко [и др.]; под редакцией В. Н. Лавриненко, Л. И. Чернышовой. — 7-е изд., перераб. и доп. — Москва: Издательство Юрайт, 2023. — 408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978-5-534-01353-5.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: </w:t>
      </w:r>
      <w:r>
        <w:fldChar w:fldCharType="begin"/>
      </w:r>
      <w:r>
        <w:instrText xml:space="preserve">HYPERLINK "https://urait.ru/bcode/510546"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/510546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6. Бендюков, Михаил Александрович.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Теоретические и прикладные проблемы организационной психологии. Психология карьеры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[Текст] : учебное пособие / М. А. Бендюков, Н. Б. Казначеева, И. Л. Соломин ; ФГБОУ ВО ПГУПС. - Санкт-Петербург : ФГБОУ ВО ПГУПС, 2016. - 45 с.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7. Развитие человека в условиях социально-психологической и экономической неопределенности и кризисных явлений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моногр. /М. А. Бендюков [и др.] ; ред.: Е. Ф. Ященко, М. В. Иванов . - Санкт-Петербург : АНО "София", 2022. - 191 с.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8. Самоукина, Наталья.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Антикризисное управление компанией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научно- популярная литература / Н. Самоукина. - М. ; СПб. ; Нижний Новгород : Питер, 2003. - 188 с.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</w:p>
    <w:p/>
    <w:sectPr>
      <w:footnotePr/>
      <w:footnotePr/>
      <w:type w:val="nextPage"/>
      <w:pgSz w:w="11906" w:h="16838" w:orient="portrait"/>
      <w:pgMar w:top="1440" w:right="96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decimal"/>
      <w:suff w:val="tab"/>
      <w:lvlText w:val="%1."/>
      <w:lvlJc w:val="left"/>
      <w:pPr>
        <w:ind w:left="1428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2148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868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3588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4308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5028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5749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6469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7189" w:hanging="360"/>
      </w:pPr>
      <w:rPr/>
    </w:lvl>
  </w:abstractNum>
  <w:abstractNum w:abstractNumId="1">
    <w:multiLevelType w:val="hybridMultilevel"/>
    <w:lvl w:ilvl="0" w:tentative="1">
      <w:start w:val="1"/>
      <w:numFmt w:val="decimal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36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