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5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  <w:t xml:space="preserve">Виды оказания психологической помощи социально уязвимым слоям населения 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(2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Тема творческого задания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 (по выбору)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: “</w:t>
      </w:r>
      <w:r>
        <w:rPr>
          <w:rFonts w:ascii="Times New Roman" w:cs="Times New Roman" w:eastAsia="Calibri"/>
          <w:sz w:val="24"/>
          <w:szCs w:val="24"/>
          <w:rtl w:val="off"/>
          <w:lang w:val="ru-RU" w:eastAsia="en-US"/>
        </w:rPr>
        <w:t>Разработка программы оказания психологической помощи социально уязвимым слоям населения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1.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Социально-уязвимые группы населения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2. Психологическое сопровождение социально уязвимых слоев населения (клиентов): концептуальные подходы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3.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Составляющие процесса, основные задачи, формы и модели психологической помощи социально уязвимым слоям населения (клиентам)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3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3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1044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