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3-4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  <w:t xml:space="preserve">Технологии разработки «дорожных карт» с целью определения жизненных целей и задач на конкретных этапах социализации, норм социального поведения, в том числе в поликультурной среде </w:t>
      </w:r>
      <w:r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  <w:t>(4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Тема творческого задания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 на выбор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: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1.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“</w:t>
      </w:r>
      <w:r>
        <w:rPr>
          <w:rFonts w:ascii="Times New Roman" w:cs="Times New Roman" w:eastAsia="Calibri"/>
          <w:sz w:val="24"/>
          <w:szCs w:val="24"/>
          <w:rtl w:val="off"/>
          <w:lang w:val="ru-RU" w:eastAsia="en-US"/>
        </w:rPr>
        <w:t xml:space="preserve">Технологии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разработки «дорожных карт» с целью определения жизненных целей и задач на конкретных этапах социализации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”.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2.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“Технологии разработки «дорожных карт» с целью формирования норм социального поведения, в том числе в поликультурной среде”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Далее обсуждаются вопросы практического занятия: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Жизненные цели и задачи на конкретных этапах социализации.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>2.</w:t>
      </w:r>
      <w:r>
        <w:rPr>
          <w:rFonts w:ascii="Times New Roman" w:cs="Times New Roman" w:eastAsiaTheme="minorEastAsia"/>
          <w:sz w:val="24"/>
          <w:szCs w:val="24"/>
          <w:rtl w:val="off"/>
          <w:lang w:val="ru-RU" w:eastAsia="ru-RU"/>
        </w:rPr>
        <w:t>Нормы социального поведения, в том числе в поликультурной среде.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3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. </w:t>
      </w:r>
      <w:r>
        <w:rPr>
          <w:rFonts w:ascii="Times New Roman" w:cs="Times New Roman" w:eastAsia="Calibri"/>
          <w:sz w:val="24"/>
          <w:szCs w:val="24"/>
          <w:rtl w:val="off"/>
          <w:lang w:val="ru-RU" w:eastAsia="en-US"/>
        </w:rPr>
        <w:t xml:space="preserve">Технологии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разработки «дорожных карт».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1188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8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90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627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3347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4067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787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507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6227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947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667" w:hanging="360"/>
      </w:pPr>
      <w:rPr/>
    </w:lvl>
  </w:abstractNum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4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6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8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60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32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4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6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8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20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