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keepNext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1 </w:t>
      </w: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en-US"/>
        </w:rPr>
        <w:t>Межличностные, групповые и организационные коммуникации в команде</w:t>
      </w:r>
      <w:r>
        <w:rPr>
          <w:rFonts w:ascii="Times New Roman" w:cstheme="minorBidi" w:eastAsiaTheme="minorHAnsi"/>
          <w:b/>
          <w:bCs/>
          <w:sz w:val="24"/>
          <w:szCs w:val="24"/>
          <w:rtl w:val="off"/>
          <w:lang w:val="ru-RU" w:eastAsia="en-US"/>
        </w:rPr>
        <w:t xml:space="preserve"> </w:t>
      </w:r>
      <w:r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  <w:t>(2 часа).</w:t>
      </w:r>
    </w:p>
    <w:p>
      <w:pPr>
        <w:framePr w:w="0" w:h="0" w:vAnchor="margin" w:hAnchor="text" w:x="0" w:y="0"/>
        <w:keepNext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Тема творческого задания: “</w:t>
      </w:r>
      <w:r>
        <w:rPr>
          <w:rFonts w:ascii="Times New Roman" w:cs="Times New Roman" w:eastAsia="Times New Roman"/>
          <w:bCs/>
          <w:iCs/>
          <w:sz w:val="24"/>
          <w:szCs w:val="24"/>
          <w:rtl w:val="off"/>
          <w:lang w:val="ru-RU" w:eastAsia="en-US"/>
        </w:rPr>
        <w:t xml:space="preserve"> План групповых и организационных коммуникаций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pStyle w:val="ListParagraph"/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Межличностные коммуникации в команде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2. Групповые  коммуникации в команде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3. Организационные коммуникации в команде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4. Сформулируйте задачи членам команды для достижения поставленной цели. Разработайте командную стратегию.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5. Выделите эффективные стили руководства командой для достижения поставленной цели.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828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069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">
    <w:multiLevelType w:val="hybridMultilevel"/>
    <w:lvl w:ilvl="0" w:tentative="1">
      <w:start w:val="1"/>
      <w:numFmt w:val="decimal"/>
      <w:suff w:val="tab"/>
      <w:lvlText w:val="%1."/>
      <w:lvlJc w:val="left"/>
      <w:pPr>
        <w:ind w:left="1004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724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444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3164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884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604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324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044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764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