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A0CB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  <w:rPr>
          <w:b/>
          <w:bCs/>
          <w:color w:val="FF0000"/>
        </w:rPr>
      </w:pPr>
      <w:bookmarkStart w:id="0" w:name="_GoBack"/>
      <w:bookmarkEnd w:id="0"/>
      <w:r>
        <w:rPr>
          <w:b/>
          <w:bCs/>
        </w:rPr>
        <w:t>Лекция 15-16. Принципы, методы, методики и технологии мониторинга социальных явлений (4 часа)</w:t>
      </w:r>
    </w:p>
    <w:p w14:paraId="2AD9A0CC" w14:textId="77777777" w:rsidR="00D075F6" w:rsidRDefault="00D075F6">
      <w:pPr>
        <w:pStyle w:val="af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14:paraId="2AD9A0CD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14:paraId="2AD9A0CE" w14:textId="77777777" w:rsidR="00D075F6" w:rsidRDefault="00105F56">
      <w:pPr>
        <w:pStyle w:val="af"/>
        <w:numPr>
          <w:ilvl w:val="0"/>
          <w:numId w:val="8"/>
        </w:numPr>
        <w:shd w:val="clear" w:color="auto" w:fill="FFFFFF"/>
        <w:tabs>
          <w:tab w:val="left" w:pos="886"/>
          <w:tab w:val="left" w:pos="1017"/>
        </w:tabs>
        <w:spacing w:before="0" w:after="0"/>
        <w:ind w:left="0" w:firstLine="676"/>
        <w:jc w:val="both"/>
      </w:pPr>
      <w:r>
        <w:t>Понятие мониторинга.</w:t>
      </w:r>
    </w:p>
    <w:p w14:paraId="2AD9A0CF" w14:textId="77777777" w:rsidR="00D075F6" w:rsidRDefault="00105F56">
      <w:pPr>
        <w:pStyle w:val="af"/>
        <w:shd w:val="clear" w:color="auto" w:fill="FFFFFF"/>
        <w:tabs>
          <w:tab w:val="left" w:pos="886"/>
          <w:tab w:val="left" w:pos="1017"/>
        </w:tabs>
        <w:spacing w:before="0" w:after="0"/>
        <w:ind w:firstLine="676"/>
        <w:jc w:val="both"/>
      </w:pPr>
      <w:r>
        <w:t>2. Сущность  и принципы социального  мониторинга.</w:t>
      </w:r>
    </w:p>
    <w:p w14:paraId="2AD9A0D0" w14:textId="77777777" w:rsidR="00D075F6" w:rsidRDefault="00105F56">
      <w:pPr>
        <w:pStyle w:val="af"/>
        <w:shd w:val="clear" w:color="auto" w:fill="FFFFFF"/>
        <w:tabs>
          <w:tab w:val="left" w:pos="886"/>
          <w:tab w:val="left" w:pos="1017"/>
        </w:tabs>
        <w:spacing w:before="0" w:after="0"/>
        <w:ind w:firstLine="676"/>
        <w:jc w:val="both"/>
      </w:pPr>
      <w:r>
        <w:t>3. Показатели  и индикаторы социального  мониторинга.</w:t>
      </w:r>
    </w:p>
    <w:p w14:paraId="2AD9A0D1" w14:textId="77777777" w:rsidR="00D075F6" w:rsidRDefault="00D075F6">
      <w:pPr>
        <w:pStyle w:val="af"/>
        <w:shd w:val="clear" w:color="auto" w:fill="FFFFFF"/>
        <w:spacing w:before="0" w:after="0"/>
        <w:jc w:val="both"/>
        <w:rPr>
          <w:b/>
          <w:bCs/>
        </w:rPr>
      </w:pPr>
    </w:p>
    <w:p w14:paraId="2AD9A0D2" w14:textId="77777777" w:rsidR="00D075F6" w:rsidRDefault="00105F56">
      <w:pPr>
        <w:pStyle w:val="af"/>
        <w:shd w:val="clear" w:color="auto" w:fill="FFFFFF"/>
        <w:spacing w:before="0" w:after="0"/>
        <w:ind w:left="21"/>
        <w:jc w:val="center"/>
        <w:rPr>
          <w:b/>
          <w:bCs/>
        </w:rPr>
      </w:pPr>
      <w:r>
        <w:rPr>
          <w:b/>
          <w:bCs/>
        </w:rPr>
        <w:t>1.Понятие мониторинга</w:t>
      </w:r>
    </w:p>
    <w:p w14:paraId="2AD9A0D3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Современные подходы к государственному регулированию социальной сферы требуют постоянного изучения социальных процессов, выявления как негативных, так и позитивных тен­денций и ситуаций в их развитии. Для этого в системе госу­дарственного регулирования социальной сферы широко исполь­зуется мониторинг, позволяющий исследовать сложные про­цессы, явления и объекты. </w:t>
      </w:r>
    </w:p>
    <w:p w14:paraId="2AD9A0D4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 xml:space="preserve">Мониторинг – </w:t>
      </w:r>
      <w:r>
        <w:rPr>
          <w:rFonts w:ascii="Times New Roman" w:hAnsi="Times New Roman" w:cs="Times New Roman"/>
          <w:color w:val="000000"/>
          <w:sz w:val="24"/>
        </w:rPr>
        <w:t xml:space="preserve">это научно обо­снованная система регулярного наблюдения, обеспечиваю­щая сбор, обобщение и анализ информации в отношении исследуемого объекта и предоставление полученных дан­ных государственным, региональным и местным органам управления для принятия соответствующего решения. </w:t>
      </w:r>
    </w:p>
    <w:p w14:paraId="2AD9A0D5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Мониторинг обеспечивает:</w:t>
      </w:r>
    </w:p>
    <w:p w14:paraId="2AD9A0D6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сбор, систематизацию информации о состоянии иссле­дуемого процесса (явления, объекта);</w:t>
      </w:r>
    </w:p>
    <w:p w14:paraId="2AD9A0D7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анализ данных и выявление тенденций, присущих ис­следуемым процессам (явлениям или объектам);</w:t>
      </w:r>
    </w:p>
    <w:p w14:paraId="2AD9A0D8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прогнозирование развития выявленных тенденций, а так­же возможных в перспективе проблем и трудностей для ис­следуемых процессов (явлений или объектов);</w:t>
      </w:r>
    </w:p>
    <w:p w14:paraId="2AD9A0D9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моделирование вариантов разрешения или предотвра­щения проблем исследуемых процессов (явлений или объек­тов) и обоснование выбора наиболее целесообразных вариан­тов решений.</w:t>
      </w:r>
    </w:p>
    <w:p w14:paraId="2AD9A0DA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Основными задачами мониторинга являются:</w:t>
      </w:r>
    </w:p>
    <w:p w14:paraId="2AD9A0DB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наблюдение за процессами (явлениями или объектами);</w:t>
      </w:r>
    </w:p>
    <w:p w14:paraId="2AD9A0DC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выявление складывающихся тенденций;</w:t>
      </w:r>
    </w:p>
    <w:p w14:paraId="2AD9A0DD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прогнозирование складывающихся тенденций и их раз­вития;</w:t>
      </w:r>
    </w:p>
    <w:p w14:paraId="2AD9A0DE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28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поиск способов предотвращения негативных тенденций и поддержания позитивных.</w:t>
      </w:r>
    </w:p>
    <w:p w14:paraId="2AD9A0DF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Мониторинг может осуществляться в разрезе республики, области, города, сельской местности, отрасли, предприятия, со­циально-демографических групп населения и т. д.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Объектами мониторинга выступают социальные процессы и явления, </w:t>
      </w:r>
      <w:r>
        <w:rPr>
          <w:rFonts w:ascii="Times New Roman" w:hAnsi="Times New Roman" w:cs="Times New Roman"/>
          <w:color w:val="000000"/>
          <w:sz w:val="24"/>
        </w:rPr>
        <w:t>име­ющие важное значение и влияющие на характер социально-экономического развития страны, на политическую ситуацию, ход общественных преобразований и т. д. Например, дифферен­циация населения, социальная мобильность и миграционные процессы, занятость, доходы (заработная плата, пенсии, стипен­дии, пособия), деятельность отраслей социальной инфраструк­туры и т. д.</w:t>
      </w:r>
    </w:p>
    <w:p w14:paraId="2AD9A0E0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Источниками информации мониторинга служат:</w:t>
      </w:r>
    </w:p>
    <w:p w14:paraId="2AD9A0E1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данные государственной статистической отчетности;</w:t>
      </w:r>
    </w:p>
    <w:p w14:paraId="2AD9A0E2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данные предприятий;</w:t>
      </w:r>
    </w:p>
    <w:p w14:paraId="2AD9A0E3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данные выборочных обследований;</w:t>
      </w:r>
    </w:p>
    <w:p w14:paraId="2AD9A0E4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специальные социологические исследования.</w:t>
      </w:r>
    </w:p>
    <w:p w14:paraId="2AD9A0E5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Независимо от источника информация должна отвечать определенным требованиям:</w:t>
      </w:r>
    </w:p>
    <w:p w14:paraId="2AD9A0E6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быть полной, оперативной, систематической и досто­верной;</w:t>
      </w:r>
    </w:p>
    <w:p w14:paraId="2AD9A0E7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быть сопоставимой, что обеспечивается путем исполь­зования единой методологии при сборе и анализе информа­ции. Это особо важно при использовании данных социологи­ческих опросов, интервью, анкетирования;</w:t>
      </w:r>
    </w:p>
    <w:p w14:paraId="2AD9A0E8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39"/>
          <w:tab w:val="left" w:pos="1377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сочетать возможность обобщающих и дифференцирован­ных оценок и выводов.</w:t>
      </w:r>
    </w:p>
    <w:p w14:paraId="2AD9A0E9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Как правило, система наблюдения за состоянием соци­альных объектов основывается на статистических показате­лях и индикаторах, всесторонне описывающих исследуемый объект. Система статистических показателей формируется ис­ходя из сущности и особенностей объекта мониторинга. Так, в системе показателей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мониторинга социально-демографичес­ких и миграционных процессов </w:t>
      </w:r>
      <w:r>
        <w:rPr>
          <w:rFonts w:ascii="Times New Roman" w:hAnsi="Times New Roman" w:cs="Times New Roman"/>
          <w:color w:val="000000"/>
          <w:sz w:val="24"/>
        </w:rPr>
        <w:t>выделяют следующие блоки показателей.</w:t>
      </w:r>
    </w:p>
    <w:p w14:paraId="2AD9A0EA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1. 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t>Численность населения:</w:t>
      </w:r>
    </w:p>
    <w:p w14:paraId="2AD9A0EB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численность населения;</w:t>
      </w:r>
    </w:p>
    <w:p w14:paraId="2AD9A0EC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естественный прирост населения;</w:t>
      </w:r>
    </w:p>
    <w:p w14:paraId="2AD9A0ED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коэффициент естественного прироста;</w:t>
      </w:r>
    </w:p>
    <w:p w14:paraId="2AD9A0EE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общий коэффициент рождаемости;</w:t>
      </w:r>
    </w:p>
    <w:p w14:paraId="2AD9A0EF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суммарный коэффициент рождаемости;</w:t>
      </w:r>
    </w:p>
    <w:p w14:paraId="2AD9A0F0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число умерших за год;</w:t>
      </w:r>
    </w:p>
    <w:p w14:paraId="2AD9A0F1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общий коэффициент смертности;</w:t>
      </w:r>
    </w:p>
    <w:p w14:paraId="2AD9A0F2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демографическая нагрузка.</w:t>
      </w:r>
    </w:p>
    <w:p w14:paraId="2AD9A0F3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2. 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t>Миграция населения:</w:t>
      </w:r>
    </w:p>
    <w:p w14:paraId="2AD9A0F4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миграционный прирост населения;</w:t>
      </w:r>
    </w:p>
    <w:p w14:paraId="2AD9A0F5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численность беженцев;</w:t>
      </w:r>
    </w:p>
    <w:p w14:paraId="2AD9A0F6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численность трудящихся мигрантов.</w:t>
      </w:r>
    </w:p>
    <w:p w14:paraId="2AD9A0F7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3. 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t>Половозрастная структура населения:</w:t>
      </w:r>
    </w:p>
    <w:p w14:paraId="2AD9A0F8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возрастная структура населения;</w:t>
      </w:r>
    </w:p>
    <w:p w14:paraId="2AD9A0F9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соотношение численности полов;</w:t>
      </w:r>
    </w:p>
    <w:p w14:paraId="2AD9A0FA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возрастные коэффициенты рождаемости;</w:t>
      </w:r>
    </w:p>
    <w:p w14:paraId="2AD9A0FB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возрастные коэффициенты смертности.</w:t>
      </w:r>
    </w:p>
    <w:p w14:paraId="2AD9A0FC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4. </w:t>
      </w:r>
      <w:r>
        <w:rPr>
          <w:rFonts w:ascii="Times New Roman" w:hAnsi="Times New Roman" w:cs="Times New Roman"/>
          <w:i/>
          <w:color w:val="000000"/>
          <w:sz w:val="24"/>
          <w:lang w:val="en-US"/>
        </w:rPr>
        <w:t>Прирост населения:</w:t>
      </w:r>
    </w:p>
    <w:p w14:paraId="2AD9A0FD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прирост населения общий;</w:t>
      </w:r>
    </w:p>
    <w:p w14:paraId="2AD9A0FE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прирост населения естественный;</w:t>
      </w:r>
    </w:p>
    <w:p w14:paraId="2AD9A0FF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прирост населения механический.</w:t>
      </w:r>
    </w:p>
    <w:p w14:paraId="2AD9A100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зависимости от цели и объекта мониторинга показатели могут уточняться. В табл. 1.1. приведены показатели мони­торинга движения населения и динамики занятости.</w:t>
      </w:r>
    </w:p>
    <w:p w14:paraId="2AD9A101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характеристики социальной сферы принципиально важное значение имеет формирование следующих направле­ний мониторинга:</w:t>
      </w:r>
    </w:p>
    <w:p w14:paraId="2AD9A102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государственного управления;</w:t>
      </w:r>
    </w:p>
    <w:p w14:paraId="2AD9A103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расходов на социальные нужды;</w:t>
      </w:r>
    </w:p>
    <w:p w14:paraId="2AD9A104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политической статистики;</w:t>
      </w:r>
    </w:p>
    <w:p w14:paraId="2AD9A105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населения и социальной стратификации;</w:t>
      </w:r>
    </w:p>
    <w:p w14:paraId="2AD9A106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социальной инфраструктуры;</w:t>
      </w:r>
    </w:p>
    <w:p w14:paraId="2AD9A107" w14:textId="77777777" w:rsidR="00D075F6" w:rsidRDefault="00105F56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50"/>
        </w:tabs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образа жизни.</w:t>
      </w:r>
    </w:p>
    <w:p w14:paraId="2AD9A108" w14:textId="77777777" w:rsidR="00D075F6" w:rsidRDefault="00105F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блоке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государственного управления </w:t>
      </w:r>
      <w:r>
        <w:rPr>
          <w:rFonts w:ascii="Times New Roman" w:hAnsi="Times New Roman" w:cs="Times New Roman"/>
          <w:color w:val="000000"/>
          <w:sz w:val="24"/>
        </w:rPr>
        <w:t>могут рассматри­ваться показатели численности и структуры органов власти, правительственных органов, объема и структуры произведен­ного и использованного национального дохода. Интересную информацию о деятельности органов власти могут представ­лять следующие группы законов, указов и постановлений с выделением тех, которые направлены на совершенствова­ние социальной сферы.</w:t>
      </w:r>
    </w:p>
    <w:p w14:paraId="2AD9A109" w14:textId="77777777" w:rsidR="00D075F6" w:rsidRDefault="00D075F6">
      <w:pPr>
        <w:pStyle w:val="af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14:paraId="2AD9A10A" w14:textId="77777777" w:rsidR="00D075F6" w:rsidRDefault="00105F56">
      <w:pPr>
        <w:pStyle w:val="af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2. Сущность  и принципы социального  мониторинга</w:t>
      </w:r>
    </w:p>
    <w:p w14:paraId="2AD9A10B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Именно социальный мониторинг обеспечивает эффективное управление социальными процессами и явлениями.</w:t>
      </w:r>
    </w:p>
    <w:p w14:paraId="2AD9A10C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rPr>
          <w:i/>
          <w:iCs/>
        </w:rPr>
        <w:t xml:space="preserve">Объекты социального мониторинга: </w:t>
      </w:r>
      <w:r>
        <w:t>социальные процессы и явления, которые могут влиять на характер экономического развития, политические ситуации, ход общественных преобразований в стране.</w:t>
      </w:r>
    </w:p>
    <w:p w14:paraId="2AD9A10D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lastRenderedPageBreak/>
        <w:t>Например, развитие малого предпринимательства может способствовать формированию среднего класса.</w:t>
      </w:r>
    </w:p>
    <w:p w14:paraId="2AD9A10E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  <w:rPr>
          <w:i/>
          <w:iCs/>
        </w:rPr>
      </w:pPr>
      <w:r>
        <w:rPr>
          <w:i/>
          <w:iCs/>
        </w:rPr>
        <w:t>Основные  принципы мониторинга:</w:t>
      </w:r>
    </w:p>
    <w:p w14:paraId="2AD9A10F" w14:textId="77777777" w:rsidR="00D075F6" w:rsidRDefault="00105F56">
      <w:pPr>
        <w:pStyle w:val="af"/>
        <w:numPr>
          <w:ilvl w:val="0"/>
          <w:numId w:val="9"/>
        </w:numPr>
        <w:shd w:val="clear" w:color="auto" w:fill="FFFFFF"/>
        <w:spacing w:before="0" w:after="0"/>
        <w:jc w:val="both"/>
      </w:pPr>
      <w:r>
        <w:t>полнота, системность и достоверность социальной информации; оперативность получения сведений и их систематическая актуализация;</w:t>
      </w:r>
    </w:p>
    <w:p w14:paraId="2AD9A110" w14:textId="77777777" w:rsidR="00D075F6" w:rsidRDefault="00105F56">
      <w:pPr>
        <w:pStyle w:val="af"/>
        <w:numPr>
          <w:ilvl w:val="0"/>
          <w:numId w:val="9"/>
        </w:numPr>
        <w:shd w:val="clear" w:color="auto" w:fill="FFFFFF"/>
        <w:spacing w:before="0" w:after="0"/>
        <w:jc w:val="both"/>
      </w:pPr>
      <w:r>
        <w:t>сопоставимость получаемых данных путем использования единой методологии сбора и анализа информации;</w:t>
      </w:r>
    </w:p>
    <w:p w14:paraId="2AD9A111" w14:textId="77777777" w:rsidR="00D075F6" w:rsidRDefault="00105F56">
      <w:pPr>
        <w:pStyle w:val="af"/>
        <w:numPr>
          <w:ilvl w:val="0"/>
          <w:numId w:val="9"/>
        </w:numPr>
        <w:shd w:val="clear" w:color="auto" w:fill="FFFFFF"/>
        <w:spacing w:before="0" w:after="0"/>
        <w:jc w:val="both"/>
      </w:pPr>
      <w:r>
        <w:t>сочетание обобщающих и дифференцированных оценок и выводов.</w:t>
      </w:r>
    </w:p>
    <w:p w14:paraId="2AD9A112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Социальный мониторинг связан с непосредственным изучением социального наблюдения в его естественных условиях.</w:t>
      </w:r>
    </w:p>
    <w:p w14:paraId="2AD9A113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С помощью  мониторинга можно получать разнообразную информацию для анализа: социальной структуры экономики, социальной направленности проводимых реформ; социальной стратификации населения и основных тенденций ее изменения и других социальных явлений и процессов.</w:t>
      </w:r>
    </w:p>
    <w:p w14:paraId="2AD9A114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Особый  интерес представляет мониторинг развития малого предпринимательства и влияние этого процесса на решение проблем занятости. Малое предпринимательство является важнейшим компонентом проводимых в России экономических реформ и может определять основные контуры социально-экономического развития не только страны в целом, но и регионов.</w:t>
      </w:r>
    </w:p>
    <w:p w14:paraId="2AD9A115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В условиях роста безработицы люди стали проявлять интерес к предпринимательской деятельности и самозанятости.</w:t>
      </w:r>
    </w:p>
    <w:p w14:paraId="2AD9A116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Социальный  мониторинг позволяет фиксировать  события и элементы человеческого  поведения в момент их совершения, появления. Он дает представление о действиях людей в определенных социальных ситуациях.</w:t>
      </w:r>
    </w:p>
    <w:p w14:paraId="2AD9A117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Мониторинг  предполагает изучение фактов, событий, результатов, связанных с объектом наблюдения.</w:t>
      </w:r>
    </w:p>
    <w:p w14:paraId="2AD9A118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Систематическое наблюдение за состоянием социальных объектов требует обоснованной и планомерной организации сбора и анализа данных, необходимых для социального мониторинга.</w:t>
      </w:r>
    </w:p>
    <w:p w14:paraId="2AD9A119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При организации  социального мониторинга можно  ориентироваться на систему показателей, учитывающих сущность его островных  объектов.</w:t>
      </w:r>
    </w:p>
    <w:p w14:paraId="2AD9A11A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rPr>
          <w:i/>
          <w:iCs/>
        </w:rPr>
        <w:t xml:space="preserve">Показатели </w:t>
      </w:r>
      <w:r>
        <w:t xml:space="preserve"> объединяются в следующие подсистемы (блоки):</w:t>
      </w:r>
    </w:p>
    <w:p w14:paraId="2AD9A11B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государственное управление;</w:t>
      </w:r>
    </w:p>
    <w:p w14:paraId="2AD9A11C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расходы на социальные нужды;</w:t>
      </w:r>
    </w:p>
    <w:p w14:paraId="2AD9A11D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политическая статистика;</w:t>
      </w:r>
    </w:p>
    <w:p w14:paraId="2AD9A11E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население и социальная стратификация;</w:t>
      </w:r>
    </w:p>
    <w:p w14:paraId="2AD9A11F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социальная инфраструктура;</w:t>
      </w:r>
    </w:p>
    <w:p w14:paraId="2AD9A120" w14:textId="77777777" w:rsidR="00D075F6" w:rsidRDefault="00105F56">
      <w:pPr>
        <w:pStyle w:val="af"/>
        <w:numPr>
          <w:ilvl w:val="0"/>
          <w:numId w:val="10"/>
        </w:numPr>
        <w:shd w:val="clear" w:color="auto" w:fill="FFFFFF"/>
        <w:spacing w:before="0" w:after="0"/>
        <w:jc w:val="both"/>
      </w:pPr>
      <w:r>
        <w:t>образ жизни.</w:t>
      </w:r>
    </w:p>
    <w:p w14:paraId="2AD9A121" w14:textId="77777777" w:rsidR="00D075F6" w:rsidRDefault="00D075F6">
      <w:pPr>
        <w:pStyle w:val="af"/>
        <w:shd w:val="clear" w:color="auto" w:fill="FFFFFF"/>
        <w:spacing w:before="0" w:after="0"/>
        <w:ind w:firstLine="709"/>
        <w:jc w:val="both"/>
      </w:pPr>
    </w:p>
    <w:p w14:paraId="2AD9A122" w14:textId="77777777" w:rsidR="00D075F6" w:rsidRDefault="00105F56">
      <w:pPr>
        <w:pStyle w:val="af"/>
        <w:shd w:val="clear" w:color="auto" w:fill="FFFFFF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3. Показатели  и индикаторы социального  мониторинга</w:t>
      </w:r>
    </w:p>
    <w:p w14:paraId="2AD9A123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 xml:space="preserve"> Общесоциальные  индикаторы, используемые при проведении мониторинга, весьма многообразны. С точки зрения экономики наибольший интерес имеют данные об экономической активности населения, самореализации людей в труде, старения (или омоложения) населения и др. </w:t>
      </w:r>
    </w:p>
    <w:p w14:paraId="2AD9A124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Доля  пожилых людей в общей численности  населения России достигла 21%. В 36 регионах удельный вес пожилых и престарелых существенно превышает среднероссийские показатели. Территории страны, где он достигает значений от 26 до 28,5%, характеризуют как «зоны демографического бедствия».</w:t>
      </w:r>
    </w:p>
    <w:p w14:paraId="2AD9A125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 xml:space="preserve">В качестве пороговых мониторинговых индикаторов используются также данные о генетических изменениях (увеличение на 1-3% ежегодно врожденных уродств свидетельствует о том, что роковая черта пройдена); сокращении продолжительности жизни </w:t>
      </w:r>
      <w:r>
        <w:lastRenderedPageBreak/>
        <w:t>(пороговое значение обычно принимается за 70 лет); характере и динамике заболеваний населения; превышении допустимых коэффициентов загрязнения среды; потреблении отдельных видов продуктов.</w:t>
      </w:r>
    </w:p>
    <w:p w14:paraId="2AD9A126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Установлено, например, что относительно безопасное для генофонда потребление алкоголя составляет до 8 л чистого спирта на человека в год. В России его потребление более чем вдвое больше; это неминуемо отразится на будущих поколениях россиян, хотя и по-разному в различных регионах страны. Предметом мониторинга служит также структура потребления домашних хозяйств. Согласно оценкам, если из бюджета семьи ежемесячно тратится на питание 80% средств, то со временем может наступить деградация человека как личности и т. п.</w:t>
      </w:r>
    </w:p>
    <w:p w14:paraId="2AD9A127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Перспективным является использование индекса  развития человеческого потенциала, индикаторов предпринимательского и инвестиционного климата на территории страны. Эти показатели достаточно сложны. Индекс развития человеческого потенциала, в частности, включает показатели: прогнозируемая при рождении продолжительность жизни; процент грамотного взрослого населения; количество обязательных лет обучения в школе; количество людей с высшим образованием на 1000 человек и др.</w:t>
      </w:r>
    </w:p>
    <w:p w14:paraId="2AD9A128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Относительно  широко распространен мониторинг благосостояния населения на основе анализа потребительской корзины. В разных странах и регионах она различается существенно - и по набору товаров, услуг, и по стоимости. В России в нее включено около десятка основных предметов, в Люксембурге - 173, в Великобритании - 600 и т. д.</w:t>
      </w:r>
    </w:p>
    <w:p w14:paraId="2AD9A129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Мониторинг  данного вида позволяет количественно  оценивать такие категории, как бедность, нищета, прожиточный минимум и др. Анализ процессов маргинализации позволил, в частности, выделить среди тех, кто ниже черты бедности, различные группы и слои, относительно которых требуется проводить специфические меры социальной защиты, поддержки, а также стимулирования к самообеспечению.</w:t>
      </w:r>
    </w:p>
    <w:p w14:paraId="2AD9A12A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Экономическим и политическим центром страны осуществляется мониторинг политических процессов, международных экономических связей и отношений, статуса России в мировом сообществе, а также отслеживается динамика развития регионов страны, оценивается мера развития и стагнации отдельных из них, действенность помощи по вертикали, основные характерные социальные и экономические процессы в регионах, соответствие индикаторов и показателей предельным уровням и др.</w:t>
      </w:r>
    </w:p>
    <w:p w14:paraId="2AD9A12B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В регионах реализуются все основные виды общественных отношений и жизнедеятельности. Их социально-экономическое развитие проявляется как органическая часть глобальных (общемировых) и национальных процессов, однако при этом оно осуществляется с учетом региональных особенностей.</w:t>
      </w:r>
    </w:p>
    <w:p w14:paraId="2AD9A12C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Специфическими  объектами мониторинга в регионах являются:</w:t>
      </w:r>
    </w:p>
    <w:p w14:paraId="2AD9A12D" w14:textId="77777777" w:rsidR="00D075F6" w:rsidRDefault="00105F56">
      <w:pPr>
        <w:pStyle w:val="af"/>
        <w:numPr>
          <w:ilvl w:val="0"/>
          <w:numId w:val="11"/>
        </w:numPr>
        <w:shd w:val="clear" w:color="auto" w:fill="FFFFFF"/>
        <w:spacing w:before="0" w:after="0"/>
        <w:jc w:val="both"/>
      </w:pPr>
      <w:r>
        <w:t>демографические процессы, в том числе естественное движение населения;</w:t>
      </w:r>
    </w:p>
    <w:p w14:paraId="2AD9A12E" w14:textId="77777777" w:rsidR="00D075F6" w:rsidRDefault="00105F56">
      <w:pPr>
        <w:pStyle w:val="af"/>
        <w:numPr>
          <w:ilvl w:val="0"/>
          <w:numId w:val="11"/>
        </w:numPr>
        <w:shd w:val="clear" w:color="auto" w:fill="FFFFFF"/>
        <w:spacing w:before="0" w:after="0"/>
        <w:jc w:val="both"/>
      </w:pPr>
      <w:r>
        <w:t>состояние воздушного и водного бассейнов;</w:t>
      </w:r>
    </w:p>
    <w:p w14:paraId="2AD9A12F" w14:textId="77777777" w:rsidR="00D075F6" w:rsidRDefault="00105F56">
      <w:pPr>
        <w:pStyle w:val="af"/>
        <w:numPr>
          <w:ilvl w:val="0"/>
          <w:numId w:val="11"/>
        </w:numPr>
        <w:shd w:val="clear" w:color="auto" w:fill="FFFFFF"/>
        <w:spacing w:before="0" w:after="0"/>
        <w:jc w:val="both"/>
      </w:pPr>
      <w:r>
        <w:t>качество  питьевой воды;</w:t>
      </w:r>
    </w:p>
    <w:p w14:paraId="2AD9A130" w14:textId="77777777" w:rsidR="00D075F6" w:rsidRDefault="00105F56">
      <w:pPr>
        <w:pStyle w:val="af"/>
        <w:numPr>
          <w:ilvl w:val="0"/>
          <w:numId w:val="11"/>
        </w:numPr>
        <w:shd w:val="clear" w:color="auto" w:fill="FFFFFF"/>
        <w:spacing w:before="0" w:after="0"/>
        <w:jc w:val="both"/>
      </w:pPr>
      <w:r>
        <w:t>радиационное  загрязнение;</w:t>
      </w:r>
    </w:p>
    <w:p w14:paraId="2AD9A131" w14:textId="77777777" w:rsidR="00D075F6" w:rsidRDefault="00105F56">
      <w:pPr>
        <w:pStyle w:val="af"/>
        <w:numPr>
          <w:ilvl w:val="0"/>
          <w:numId w:val="11"/>
        </w:numPr>
        <w:shd w:val="clear" w:color="auto" w:fill="FFFFFF"/>
        <w:spacing w:before="0" w:after="0"/>
        <w:jc w:val="both"/>
      </w:pPr>
      <w:r>
        <w:t>транспортное загрязнение (в крупных индустриальных центрах и городских агломерациях) и др.</w:t>
      </w:r>
    </w:p>
    <w:p w14:paraId="2AD9A132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Предметом экономического мониторинга регионов все более становятся:</w:t>
      </w:r>
    </w:p>
    <w:p w14:paraId="2AD9A133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экономическая динамика в целом;</w:t>
      </w:r>
    </w:p>
    <w:p w14:paraId="2AD9A134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устойчивость  предприятий экспортной ориентации на внешних рынках, процессы потери (уступка) или завоевания ими новых рыночных позиций;</w:t>
      </w:r>
    </w:p>
    <w:p w14:paraId="2AD9A135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криминализация  экономических структур;</w:t>
      </w:r>
    </w:p>
    <w:p w14:paraId="2AD9A136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изменение трудовой мотивации населения;</w:t>
      </w:r>
    </w:p>
    <w:p w14:paraId="2AD9A137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движение  финансовых потоков и финансового  обеспечения, прежде всего, отраслей специализации  и социальной сферы;</w:t>
      </w:r>
    </w:p>
    <w:p w14:paraId="2AD9A138" w14:textId="77777777" w:rsidR="00D075F6" w:rsidRDefault="00105F56">
      <w:pPr>
        <w:pStyle w:val="af"/>
        <w:numPr>
          <w:ilvl w:val="0"/>
          <w:numId w:val="12"/>
        </w:numPr>
        <w:shd w:val="clear" w:color="auto" w:fill="FFFFFF"/>
        <w:spacing w:before="0" w:after="0"/>
        <w:jc w:val="both"/>
      </w:pPr>
      <w:r>
        <w:t xml:space="preserve"> состояние технологического потенциала и др.</w:t>
      </w:r>
    </w:p>
    <w:p w14:paraId="2AD9A139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lastRenderedPageBreak/>
        <w:t>Перечень статистических показателей социально-экономического положения муниципальных образований утвержден постановлением Госкомстата России от 29 марта 1996 г. № 24. Они применяются для контроля ситуации и принятия оперативных мер.</w:t>
      </w:r>
    </w:p>
    <w:p w14:paraId="2AD9A13A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>Для целей же стратегических, своевременного выявления и устранения факторов, сдерживающих развитие муниципальных  образований в средне- и долговременной перспективе, целесообразно использовать также иные индикаторы и показатели. Их разработка активно ведется во многих странах мира.</w:t>
      </w:r>
    </w:p>
    <w:p w14:paraId="2AD9A13B" w14:textId="77777777" w:rsidR="00D075F6" w:rsidRDefault="00105F56">
      <w:pPr>
        <w:pStyle w:val="af"/>
        <w:shd w:val="clear" w:color="auto" w:fill="FFFFFF"/>
        <w:spacing w:before="0" w:after="0"/>
        <w:ind w:firstLine="709"/>
        <w:jc w:val="both"/>
      </w:pPr>
      <w:r>
        <w:t xml:space="preserve">В связи с этим представляется интересным подход Центра ООН по исследованию населенных пунктов - НАВIТАТ. Для характеристики развития города предложены: основные показатели (использование земли, структура собственности, население, распределение дохода, размер и темпы формирования домохозяйств и др.); показатели социально-экономического развития (занятость населения, ожидаемая продолжительность жизни, уровень грамотности и др.); данные об инфраструктуре, транспорте, состоянии природной среды, качестве местного управления и др. </w:t>
      </w:r>
    </w:p>
    <w:p w14:paraId="2AD9A13C" w14:textId="77777777" w:rsidR="00D075F6" w:rsidRDefault="00D075F6">
      <w:pPr>
        <w:pStyle w:val="af"/>
        <w:shd w:val="clear" w:color="auto" w:fill="FFFFFF"/>
        <w:spacing w:before="0" w:after="0"/>
        <w:ind w:firstLine="709"/>
        <w:jc w:val="both"/>
      </w:pPr>
    </w:p>
    <w:p w14:paraId="2AD9A141" w14:textId="77777777" w:rsidR="00D075F6" w:rsidRDefault="00D0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75F6">
      <w:head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A146" w14:textId="77777777" w:rsidR="00D075F6" w:rsidRDefault="00105F56">
      <w:pPr>
        <w:spacing w:after="0" w:line="240" w:lineRule="auto"/>
      </w:pPr>
      <w:r>
        <w:separator/>
      </w:r>
    </w:p>
  </w:endnote>
  <w:endnote w:type="continuationSeparator" w:id="0">
    <w:p w14:paraId="2AD9A147" w14:textId="77777777" w:rsidR="00D075F6" w:rsidRDefault="001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A144" w14:textId="77777777" w:rsidR="00D075F6" w:rsidRDefault="00105F56">
      <w:pPr>
        <w:spacing w:after="0" w:line="240" w:lineRule="auto"/>
      </w:pPr>
      <w:r>
        <w:separator/>
      </w:r>
    </w:p>
  </w:footnote>
  <w:footnote w:type="continuationSeparator" w:id="0">
    <w:p w14:paraId="2AD9A145" w14:textId="77777777" w:rsidR="00D075F6" w:rsidRDefault="001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A148" w14:textId="77777777" w:rsidR="00D075F6" w:rsidRDefault="00105F56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>
      <w:t>73</w:t>
    </w:r>
    <w:r>
      <w:fldChar w:fldCharType="end"/>
    </w:r>
  </w:p>
  <w:p w14:paraId="2AD9A149" w14:textId="77777777" w:rsidR="00D075F6" w:rsidRDefault="00D075F6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DA3"/>
    <w:multiLevelType w:val="multilevel"/>
    <w:tmpl w:val="6C5C6C4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8559E"/>
    <w:multiLevelType w:val="hybridMultilevel"/>
    <w:tmpl w:val="89CE38D8"/>
    <w:lvl w:ilvl="0" w:tplc="2A8A5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10EB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2C6C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E18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CC097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C8C7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8482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2475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D8BB5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C16BF"/>
    <w:multiLevelType w:val="multilevel"/>
    <w:tmpl w:val="80A80D36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A4015"/>
    <w:multiLevelType w:val="hybridMultilevel"/>
    <w:tmpl w:val="7082B75C"/>
    <w:lvl w:ilvl="0" w:tplc="FC54C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720E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12A7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2484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BCCA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80B7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5AE2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DA44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3CE0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C25D24"/>
    <w:multiLevelType w:val="multilevel"/>
    <w:tmpl w:val="CC36A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D5486"/>
    <w:multiLevelType w:val="hybridMultilevel"/>
    <w:tmpl w:val="E37A5B2A"/>
    <w:lvl w:ilvl="0" w:tplc="C0423BC2">
      <w:start w:val="1"/>
      <w:numFmt w:val="decimal"/>
      <w:lvlText w:val="%1."/>
      <w:lvlJc w:val="left"/>
      <w:pPr>
        <w:ind w:left="1788" w:hanging="360"/>
      </w:pPr>
    </w:lvl>
    <w:lvl w:ilvl="1" w:tplc="F7E0DC62" w:tentative="1">
      <w:start w:val="1"/>
      <w:numFmt w:val="lowerLetter"/>
      <w:lvlText w:val="%2."/>
      <w:lvlJc w:val="left"/>
      <w:pPr>
        <w:ind w:left="2508" w:hanging="360"/>
      </w:pPr>
    </w:lvl>
    <w:lvl w:ilvl="2" w:tplc="16AABBDA" w:tentative="1">
      <w:start w:val="1"/>
      <w:numFmt w:val="lowerRoman"/>
      <w:lvlText w:val="%3."/>
      <w:lvlJc w:val="right"/>
      <w:pPr>
        <w:ind w:left="3228" w:hanging="360"/>
      </w:pPr>
    </w:lvl>
    <w:lvl w:ilvl="3" w:tplc="183CFE12" w:tentative="1">
      <w:start w:val="1"/>
      <w:numFmt w:val="decimal"/>
      <w:lvlText w:val="%4."/>
      <w:lvlJc w:val="left"/>
      <w:pPr>
        <w:ind w:left="3948" w:hanging="360"/>
      </w:pPr>
    </w:lvl>
    <w:lvl w:ilvl="4" w:tplc="974A68B2" w:tentative="1">
      <w:start w:val="1"/>
      <w:numFmt w:val="lowerLetter"/>
      <w:lvlText w:val="%5."/>
      <w:lvlJc w:val="left"/>
      <w:pPr>
        <w:ind w:left="4668" w:hanging="360"/>
      </w:pPr>
    </w:lvl>
    <w:lvl w:ilvl="5" w:tplc="106694C2" w:tentative="1">
      <w:start w:val="1"/>
      <w:numFmt w:val="lowerRoman"/>
      <w:lvlText w:val="%6."/>
      <w:lvlJc w:val="right"/>
      <w:pPr>
        <w:ind w:left="5389" w:hanging="360"/>
      </w:pPr>
    </w:lvl>
    <w:lvl w:ilvl="6" w:tplc="688EB132" w:tentative="1">
      <w:start w:val="1"/>
      <w:numFmt w:val="decimal"/>
      <w:lvlText w:val="%7."/>
      <w:lvlJc w:val="left"/>
      <w:pPr>
        <w:ind w:left="6109" w:hanging="360"/>
      </w:pPr>
    </w:lvl>
    <w:lvl w:ilvl="7" w:tplc="6EB23718" w:tentative="1">
      <w:start w:val="1"/>
      <w:numFmt w:val="lowerLetter"/>
      <w:lvlText w:val="%8."/>
      <w:lvlJc w:val="left"/>
      <w:pPr>
        <w:ind w:left="6829" w:hanging="360"/>
      </w:pPr>
    </w:lvl>
    <w:lvl w:ilvl="8" w:tplc="F7CE2900" w:tentative="1">
      <w:start w:val="1"/>
      <w:numFmt w:val="lowerRoman"/>
      <w:lvlText w:val="%9."/>
      <w:lvlJc w:val="right"/>
      <w:pPr>
        <w:ind w:left="7549" w:hanging="360"/>
      </w:pPr>
    </w:lvl>
  </w:abstractNum>
  <w:abstractNum w:abstractNumId="6" w15:restartNumberingAfterBreak="0">
    <w:nsid w:val="19BD1479"/>
    <w:multiLevelType w:val="hybridMultilevel"/>
    <w:tmpl w:val="44A86E6E"/>
    <w:lvl w:ilvl="0" w:tplc="00FAB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9AA8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F65C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0C2B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E817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3018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DE9D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FC1C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E411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4F777F"/>
    <w:multiLevelType w:val="hybridMultilevel"/>
    <w:tmpl w:val="3D6242D2"/>
    <w:lvl w:ilvl="0" w:tplc="FB3E0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B622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5CC7F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25F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DA7E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E87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0801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72C07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42F9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5652E"/>
    <w:multiLevelType w:val="multilevel"/>
    <w:tmpl w:val="B44AF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457EF3"/>
    <w:multiLevelType w:val="multilevel"/>
    <w:tmpl w:val="28E0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764955"/>
    <w:multiLevelType w:val="hybridMultilevel"/>
    <w:tmpl w:val="F774E838"/>
    <w:lvl w:ilvl="0" w:tplc="73643A78">
      <w:start w:val="1"/>
      <w:numFmt w:val="decimal"/>
      <w:lvlText w:val="%1."/>
      <w:lvlJc w:val="left"/>
      <w:pPr>
        <w:ind w:left="1428" w:hanging="360"/>
      </w:pPr>
    </w:lvl>
    <w:lvl w:ilvl="1" w:tplc="7DEAF48C" w:tentative="1">
      <w:start w:val="1"/>
      <w:numFmt w:val="lowerLetter"/>
      <w:lvlText w:val="%2."/>
      <w:lvlJc w:val="left"/>
      <w:pPr>
        <w:ind w:left="2148" w:hanging="360"/>
      </w:pPr>
    </w:lvl>
    <w:lvl w:ilvl="2" w:tplc="27E83AB4" w:tentative="1">
      <w:start w:val="1"/>
      <w:numFmt w:val="lowerRoman"/>
      <w:lvlText w:val="%3."/>
      <w:lvlJc w:val="right"/>
      <w:pPr>
        <w:ind w:left="2868" w:hanging="360"/>
      </w:pPr>
    </w:lvl>
    <w:lvl w:ilvl="3" w:tplc="971818BE" w:tentative="1">
      <w:start w:val="1"/>
      <w:numFmt w:val="decimal"/>
      <w:lvlText w:val="%4."/>
      <w:lvlJc w:val="left"/>
      <w:pPr>
        <w:ind w:left="3588" w:hanging="360"/>
      </w:pPr>
    </w:lvl>
    <w:lvl w:ilvl="4" w:tplc="B4C0A796" w:tentative="1">
      <w:start w:val="1"/>
      <w:numFmt w:val="lowerLetter"/>
      <w:lvlText w:val="%5."/>
      <w:lvlJc w:val="left"/>
      <w:pPr>
        <w:ind w:left="4308" w:hanging="360"/>
      </w:pPr>
    </w:lvl>
    <w:lvl w:ilvl="5" w:tplc="9F74CE1A" w:tentative="1">
      <w:start w:val="1"/>
      <w:numFmt w:val="lowerRoman"/>
      <w:lvlText w:val="%6."/>
      <w:lvlJc w:val="right"/>
      <w:pPr>
        <w:ind w:left="5028" w:hanging="360"/>
      </w:pPr>
    </w:lvl>
    <w:lvl w:ilvl="6" w:tplc="4A6EF644" w:tentative="1">
      <w:start w:val="1"/>
      <w:numFmt w:val="decimal"/>
      <w:lvlText w:val="%7."/>
      <w:lvlJc w:val="left"/>
      <w:pPr>
        <w:ind w:left="5749" w:hanging="360"/>
      </w:pPr>
    </w:lvl>
    <w:lvl w:ilvl="7" w:tplc="41D88144" w:tentative="1">
      <w:start w:val="1"/>
      <w:numFmt w:val="lowerLetter"/>
      <w:lvlText w:val="%8."/>
      <w:lvlJc w:val="left"/>
      <w:pPr>
        <w:ind w:left="6469" w:hanging="360"/>
      </w:pPr>
    </w:lvl>
    <w:lvl w:ilvl="8" w:tplc="88209F4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11" w15:restartNumberingAfterBreak="0">
    <w:nsid w:val="373523DE"/>
    <w:multiLevelType w:val="hybridMultilevel"/>
    <w:tmpl w:val="45DED55C"/>
    <w:lvl w:ilvl="0" w:tplc="DE4CB8F6">
      <w:start w:val="1"/>
      <w:numFmt w:val="decimal"/>
      <w:lvlText w:val="%1."/>
      <w:lvlJc w:val="left"/>
      <w:pPr>
        <w:ind w:left="1428" w:hanging="360"/>
      </w:pPr>
    </w:lvl>
    <w:lvl w:ilvl="1" w:tplc="52028520" w:tentative="1">
      <w:start w:val="1"/>
      <w:numFmt w:val="lowerLetter"/>
      <w:lvlText w:val="%2."/>
      <w:lvlJc w:val="left"/>
      <w:pPr>
        <w:ind w:left="2148" w:hanging="360"/>
      </w:pPr>
    </w:lvl>
    <w:lvl w:ilvl="2" w:tplc="853231C8" w:tentative="1">
      <w:start w:val="1"/>
      <w:numFmt w:val="lowerRoman"/>
      <w:lvlText w:val="%3."/>
      <w:lvlJc w:val="right"/>
      <w:pPr>
        <w:ind w:left="2868" w:hanging="360"/>
      </w:pPr>
    </w:lvl>
    <w:lvl w:ilvl="3" w:tplc="1CE01B7C" w:tentative="1">
      <w:start w:val="1"/>
      <w:numFmt w:val="decimal"/>
      <w:lvlText w:val="%4."/>
      <w:lvlJc w:val="left"/>
      <w:pPr>
        <w:ind w:left="3588" w:hanging="360"/>
      </w:pPr>
    </w:lvl>
    <w:lvl w:ilvl="4" w:tplc="D1462116" w:tentative="1">
      <w:start w:val="1"/>
      <w:numFmt w:val="lowerLetter"/>
      <w:lvlText w:val="%5."/>
      <w:lvlJc w:val="left"/>
      <w:pPr>
        <w:ind w:left="4308" w:hanging="360"/>
      </w:pPr>
    </w:lvl>
    <w:lvl w:ilvl="5" w:tplc="99CA4126" w:tentative="1">
      <w:start w:val="1"/>
      <w:numFmt w:val="lowerRoman"/>
      <w:lvlText w:val="%6."/>
      <w:lvlJc w:val="right"/>
      <w:pPr>
        <w:ind w:left="5028" w:hanging="360"/>
      </w:pPr>
    </w:lvl>
    <w:lvl w:ilvl="6" w:tplc="C1AA4B26" w:tentative="1">
      <w:start w:val="1"/>
      <w:numFmt w:val="decimal"/>
      <w:lvlText w:val="%7."/>
      <w:lvlJc w:val="left"/>
      <w:pPr>
        <w:ind w:left="5749" w:hanging="360"/>
      </w:pPr>
    </w:lvl>
    <w:lvl w:ilvl="7" w:tplc="49EAF164" w:tentative="1">
      <w:start w:val="1"/>
      <w:numFmt w:val="lowerLetter"/>
      <w:lvlText w:val="%8."/>
      <w:lvlJc w:val="left"/>
      <w:pPr>
        <w:ind w:left="6469" w:hanging="360"/>
      </w:pPr>
    </w:lvl>
    <w:lvl w:ilvl="8" w:tplc="12FCA2FE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12" w15:restartNumberingAfterBreak="0">
    <w:nsid w:val="386717EE"/>
    <w:multiLevelType w:val="hybridMultilevel"/>
    <w:tmpl w:val="65FC0F1A"/>
    <w:lvl w:ilvl="0" w:tplc="CB786EDA">
      <w:start w:val="1"/>
      <w:numFmt w:val="decimal"/>
      <w:lvlText w:val="%1."/>
      <w:lvlJc w:val="left"/>
      <w:pPr>
        <w:ind w:left="1428" w:hanging="360"/>
      </w:pPr>
    </w:lvl>
    <w:lvl w:ilvl="1" w:tplc="3DF8D098" w:tentative="1">
      <w:start w:val="1"/>
      <w:numFmt w:val="lowerLetter"/>
      <w:lvlText w:val="%2."/>
      <w:lvlJc w:val="left"/>
      <w:pPr>
        <w:ind w:left="2148" w:hanging="360"/>
      </w:pPr>
    </w:lvl>
    <w:lvl w:ilvl="2" w:tplc="08285482" w:tentative="1">
      <w:start w:val="1"/>
      <w:numFmt w:val="lowerRoman"/>
      <w:lvlText w:val="%3."/>
      <w:lvlJc w:val="right"/>
      <w:pPr>
        <w:ind w:left="2868" w:hanging="360"/>
      </w:pPr>
    </w:lvl>
    <w:lvl w:ilvl="3" w:tplc="7ADE2B1C" w:tentative="1">
      <w:start w:val="1"/>
      <w:numFmt w:val="decimal"/>
      <w:lvlText w:val="%4."/>
      <w:lvlJc w:val="left"/>
      <w:pPr>
        <w:ind w:left="3588" w:hanging="360"/>
      </w:pPr>
    </w:lvl>
    <w:lvl w:ilvl="4" w:tplc="3000C2E2" w:tentative="1">
      <w:start w:val="1"/>
      <w:numFmt w:val="lowerLetter"/>
      <w:lvlText w:val="%5."/>
      <w:lvlJc w:val="left"/>
      <w:pPr>
        <w:ind w:left="4308" w:hanging="360"/>
      </w:pPr>
    </w:lvl>
    <w:lvl w:ilvl="5" w:tplc="EC503670" w:tentative="1">
      <w:start w:val="1"/>
      <w:numFmt w:val="lowerRoman"/>
      <w:lvlText w:val="%6."/>
      <w:lvlJc w:val="right"/>
      <w:pPr>
        <w:ind w:left="5028" w:hanging="360"/>
      </w:pPr>
    </w:lvl>
    <w:lvl w:ilvl="6" w:tplc="B3684D8E" w:tentative="1">
      <w:start w:val="1"/>
      <w:numFmt w:val="decimal"/>
      <w:lvlText w:val="%7."/>
      <w:lvlJc w:val="left"/>
      <w:pPr>
        <w:ind w:left="5749" w:hanging="360"/>
      </w:pPr>
    </w:lvl>
    <w:lvl w:ilvl="7" w:tplc="914A5E8C" w:tentative="1">
      <w:start w:val="1"/>
      <w:numFmt w:val="lowerLetter"/>
      <w:lvlText w:val="%8."/>
      <w:lvlJc w:val="left"/>
      <w:pPr>
        <w:ind w:left="6469" w:hanging="360"/>
      </w:pPr>
    </w:lvl>
    <w:lvl w:ilvl="8" w:tplc="BD7E076C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13" w15:restartNumberingAfterBreak="0">
    <w:nsid w:val="394C5570"/>
    <w:multiLevelType w:val="hybridMultilevel"/>
    <w:tmpl w:val="D30048AE"/>
    <w:lvl w:ilvl="0" w:tplc="C5C256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0622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E60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408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0E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F2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48B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72F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66C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7A4C46"/>
    <w:multiLevelType w:val="hybridMultilevel"/>
    <w:tmpl w:val="99946BB8"/>
    <w:lvl w:ilvl="0" w:tplc="00F63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56EE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8C9E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DC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1AFB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94B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0426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6631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D499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0622CC"/>
    <w:multiLevelType w:val="hybridMultilevel"/>
    <w:tmpl w:val="3EE078F4"/>
    <w:lvl w:ilvl="0" w:tplc="CDE422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F2AE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D23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C6A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6CA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9C4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9C4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C64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38A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D6F5922"/>
    <w:multiLevelType w:val="hybridMultilevel"/>
    <w:tmpl w:val="816A3C70"/>
    <w:lvl w:ilvl="0" w:tplc="0FAEF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120A8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B07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AEC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D03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BAF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4AB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86D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A89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D4F6A98"/>
    <w:multiLevelType w:val="hybridMultilevel"/>
    <w:tmpl w:val="4790D9AA"/>
    <w:lvl w:ilvl="0" w:tplc="EDEC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E2694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76C4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AEBE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183B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483C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A814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F413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2C99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372B7F"/>
    <w:multiLevelType w:val="multilevel"/>
    <w:tmpl w:val="CE0AE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D356A"/>
    <w:multiLevelType w:val="hybridMultilevel"/>
    <w:tmpl w:val="BEA8A83C"/>
    <w:lvl w:ilvl="0" w:tplc="A10CFA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EBFCD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7C6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66B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E2E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04D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6B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4EB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D2C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4B0B55"/>
    <w:multiLevelType w:val="multilevel"/>
    <w:tmpl w:val="DEF28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8412D2"/>
    <w:multiLevelType w:val="hybridMultilevel"/>
    <w:tmpl w:val="59520B52"/>
    <w:lvl w:ilvl="0" w:tplc="CE44AB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1369616" w:tentative="1">
      <w:start w:val="1"/>
      <w:numFmt w:val="lowerLetter"/>
      <w:lvlText w:val="%2."/>
      <w:lvlJc w:val="left"/>
      <w:pPr>
        <w:ind w:left="1440" w:hanging="360"/>
      </w:pPr>
    </w:lvl>
    <w:lvl w:ilvl="2" w:tplc="3B300246" w:tentative="1">
      <w:start w:val="1"/>
      <w:numFmt w:val="lowerRoman"/>
      <w:lvlText w:val="%3."/>
      <w:lvlJc w:val="right"/>
      <w:pPr>
        <w:ind w:left="2160" w:hanging="180"/>
      </w:pPr>
    </w:lvl>
    <w:lvl w:ilvl="3" w:tplc="9016FF40" w:tentative="1">
      <w:start w:val="1"/>
      <w:numFmt w:val="decimal"/>
      <w:lvlText w:val="%4."/>
      <w:lvlJc w:val="left"/>
      <w:pPr>
        <w:ind w:left="2880" w:hanging="360"/>
      </w:pPr>
    </w:lvl>
    <w:lvl w:ilvl="4" w:tplc="E4EE2084" w:tentative="1">
      <w:start w:val="1"/>
      <w:numFmt w:val="lowerLetter"/>
      <w:lvlText w:val="%5."/>
      <w:lvlJc w:val="left"/>
      <w:pPr>
        <w:ind w:left="3600" w:hanging="360"/>
      </w:pPr>
    </w:lvl>
    <w:lvl w:ilvl="5" w:tplc="C50281CC" w:tentative="1">
      <w:start w:val="1"/>
      <w:numFmt w:val="lowerRoman"/>
      <w:lvlText w:val="%6."/>
      <w:lvlJc w:val="right"/>
      <w:pPr>
        <w:ind w:left="4320" w:hanging="180"/>
      </w:pPr>
    </w:lvl>
    <w:lvl w:ilvl="6" w:tplc="0AF6F5D0" w:tentative="1">
      <w:start w:val="1"/>
      <w:numFmt w:val="decimal"/>
      <w:lvlText w:val="%7."/>
      <w:lvlJc w:val="left"/>
      <w:pPr>
        <w:ind w:left="5040" w:hanging="360"/>
      </w:pPr>
    </w:lvl>
    <w:lvl w:ilvl="7" w:tplc="D9C01E72" w:tentative="1">
      <w:start w:val="1"/>
      <w:numFmt w:val="lowerLetter"/>
      <w:lvlText w:val="%8."/>
      <w:lvlJc w:val="left"/>
      <w:pPr>
        <w:ind w:left="5760" w:hanging="360"/>
      </w:pPr>
    </w:lvl>
    <w:lvl w:ilvl="8" w:tplc="7FD6C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A339B"/>
    <w:multiLevelType w:val="hybridMultilevel"/>
    <w:tmpl w:val="D898B838"/>
    <w:lvl w:ilvl="0" w:tplc="AF968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88A2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0CAC5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9048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BCE9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D0B3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B6F6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3A4A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B6A5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276C56"/>
    <w:multiLevelType w:val="hybridMultilevel"/>
    <w:tmpl w:val="EACE90A6"/>
    <w:lvl w:ilvl="0" w:tplc="CF0A6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D6997A" w:tentative="1">
      <w:start w:val="1"/>
      <w:numFmt w:val="lowerLetter"/>
      <w:lvlText w:val="%2."/>
      <w:lvlJc w:val="left"/>
      <w:pPr>
        <w:ind w:left="1440" w:hanging="360"/>
      </w:pPr>
    </w:lvl>
    <w:lvl w:ilvl="2" w:tplc="72C6ACFA" w:tentative="1">
      <w:start w:val="1"/>
      <w:numFmt w:val="lowerRoman"/>
      <w:lvlText w:val="%3."/>
      <w:lvlJc w:val="right"/>
      <w:pPr>
        <w:ind w:left="2160" w:hanging="180"/>
      </w:pPr>
    </w:lvl>
    <w:lvl w:ilvl="3" w:tplc="95067174" w:tentative="1">
      <w:start w:val="1"/>
      <w:numFmt w:val="decimal"/>
      <w:lvlText w:val="%4."/>
      <w:lvlJc w:val="left"/>
      <w:pPr>
        <w:ind w:left="2880" w:hanging="360"/>
      </w:pPr>
    </w:lvl>
    <w:lvl w:ilvl="4" w:tplc="0C32218A" w:tentative="1">
      <w:start w:val="1"/>
      <w:numFmt w:val="lowerLetter"/>
      <w:lvlText w:val="%5."/>
      <w:lvlJc w:val="left"/>
      <w:pPr>
        <w:ind w:left="3600" w:hanging="360"/>
      </w:pPr>
    </w:lvl>
    <w:lvl w:ilvl="5" w:tplc="F8DA81EA" w:tentative="1">
      <w:start w:val="1"/>
      <w:numFmt w:val="lowerRoman"/>
      <w:lvlText w:val="%6."/>
      <w:lvlJc w:val="right"/>
      <w:pPr>
        <w:ind w:left="4320" w:hanging="180"/>
      </w:pPr>
    </w:lvl>
    <w:lvl w:ilvl="6" w:tplc="65C00F2E" w:tentative="1">
      <w:start w:val="1"/>
      <w:numFmt w:val="decimal"/>
      <w:lvlText w:val="%7."/>
      <w:lvlJc w:val="left"/>
      <w:pPr>
        <w:ind w:left="5040" w:hanging="360"/>
      </w:pPr>
    </w:lvl>
    <w:lvl w:ilvl="7" w:tplc="94948494" w:tentative="1">
      <w:start w:val="1"/>
      <w:numFmt w:val="lowerLetter"/>
      <w:lvlText w:val="%8."/>
      <w:lvlJc w:val="left"/>
      <w:pPr>
        <w:ind w:left="5760" w:hanging="360"/>
      </w:pPr>
    </w:lvl>
    <w:lvl w:ilvl="8" w:tplc="A9967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F5882"/>
    <w:multiLevelType w:val="hybridMultilevel"/>
    <w:tmpl w:val="9A3EC5A0"/>
    <w:lvl w:ilvl="0" w:tplc="08CE2F10">
      <w:start w:val="1"/>
      <w:numFmt w:val="decimal"/>
      <w:lvlText w:val="%1."/>
      <w:lvlJc w:val="left"/>
      <w:pPr>
        <w:ind w:left="1375" w:hanging="360"/>
      </w:pPr>
    </w:lvl>
    <w:lvl w:ilvl="1" w:tplc="E2022AF0" w:tentative="1">
      <w:start w:val="1"/>
      <w:numFmt w:val="lowerLetter"/>
      <w:lvlText w:val="%2."/>
      <w:lvlJc w:val="left"/>
      <w:pPr>
        <w:ind w:left="2095" w:hanging="360"/>
      </w:pPr>
    </w:lvl>
    <w:lvl w:ilvl="2" w:tplc="B4D6110A" w:tentative="1">
      <w:start w:val="1"/>
      <w:numFmt w:val="lowerRoman"/>
      <w:lvlText w:val="%3."/>
      <w:lvlJc w:val="right"/>
      <w:pPr>
        <w:ind w:left="2815" w:hanging="360"/>
      </w:pPr>
    </w:lvl>
    <w:lvl w:ilvl="3" w:tplc="0B18F524" w:tentative="1">
      <w:start w:val="1"/>
      <w:numFmt w:val="decimal"/>
      <w:lvlText w:val="%4."/>
      <w:lvlJc w:val="left"/>
      <w:pPr>
        <w:ind w:left="3535" w:hanging="360"/>
      </w:pPr>
    </w:lvl>
    <w:lvl w:ilvl="4" w:tplc="E7DA33F2" w:tentative="1">
      <w:start w:val="1"/>
      <w:numFmt w:val="lowerLetter"/>
      <w:lvlText w:val="%5."/>
      <w:lvlJc w:val="left"/>
      <w:pPr>
        <w:ind w:left="4255" w:hanging="360"/>
      </w:pPr>
    </w:lvl>
    <w:lvl w:ilvl="5" w:tplc="3DB0E2F8" w:tentative="1">
      <w:start w:val="1"/>
      <w:numFmt w:val="lowerRoman"/>
      <w:lvlText w:val="%6."/>
      <w:lvlJc w:val="right"/>
      <w:pPr>
        <w:ind w:left="4975" w:hanging="360"/>
      </w:pPr>
    </w:lvl>
    <w:lvl w:ilvl="6" w:tplc="D828348C" w:tentative="1">
      <w:start w:val="1"/>
      <w:numFmt w:val="decimal"/>
      <w:lvlText w:val="%7."/>
      <w:lvlJc w:val="left"/>
      <w:pPr>
        <w:ind w:left="5695" w:hanging="360"/>
      </w:pPr>
    </w:lvl>
    <w:lvl w:ilvl="7" w:tplc="28E8BDC0" w:tentative="1">
      <w:start w:val="1"/>
      <w:numFmt w:val="lowerLetter"/>
      <w:lvlText w:val="%8."/>
      <w:lvlJc w:val="left"/>
      <w:pPr>
        <w:ind w:left="6415" w:hanging="360"/>
      </w:pPr>
    </w:lvl>
    <w:lvl w:ilvl="8" w:tplc="F642038E" w:tentative="1">
      <w:start w:val="1"/>
      <w:numFmt w:val="lowerRoman"/>
      <w:lvlText w:val="%9."/>
      <w:lvlJc w:val="right"/>
      <w:pPr>
        <w:ind w:left="7135" w:hanging="360"/>
      </w:pPr>
    </w:lvl>
  </w:abstractNum>
  <w:abstractNum w:abstractNumId="25" w15:restartNumberingAfterBreak="0">
    <w:nsid w:val="7CDD700B"/>
    <w:multiLevelType w:val="hybridMultilevel"/>
    <w:tmpl w:val="636C7ACA"/>
    <w:lvl w:ilvl="0" w:tplc="315607DC">
      <w:start w:val="1"/>
      <w:numFmt w:val="decimal"/>
      <w:lvlText w:val="%1."/>
      <w:lvlJc w:val="left"/>
      <w:pPr>
        <w:ind w:left="1428" w:hanging="360"/>
      </w:pPr>
    </w:lvl>
    <w:lvl w:ilvl="1" w:tplc="E24613BA" w:tentative="1">
      <w:start w:val="1"/>
      <w:numFmt w:val="lowerLetter"/>
      <w:lvlText w:val="%2."/>
      <w:lvlJc w:val="left"/>
      <w:pPr>
        <w:ind w:left="2148" w:hanging="360"/>
      </w:pPr>
    </w:lvl>
    <w:lvl w:ilvl="2" w:tplc="08726F60" w:tentative="1">
      <w:start w:val="1"/>
      <w:numFmt w:val="lowerRoman"/>
      <w:lvlText w:val="%3."/>
      <w:lvlJc w:val="right"/>
      <w:pPr>
        <w:ind w:left="2868" w:hanging="360"/>
      </w:pPr>
    </w:lvl>
    <w:lvl w:ilvl="3" w:tplc="475E45BA" w:tentative="1">
      <w:start w:val="1"/>
      <w:numFmt w:val="decimal"/>
      <w:lvlText w:val="%4."/>
      <w:lvlJc w:val="left"/>
      <w:pPr>
        <w:ind w:left="3588" w:hanging="360"/>
      </w:pPr>
    </w:lvl>
    <w:lvl w:ilvl="4" w:tplc="568CB8F6" w:tentative="1">
      <w:start w:val="1"/>
      <w:numFmt w:val="lowerLetter"/>
      <w:lvlText w:val="%5."/>
      <w:lvlJc w:val="left"/>
      <w:pPr>
        <w:ind w:left="4308" w:hanging="360"/>
      </w:pPr>
    </w:lvl>
    <w:lvl w:ilvl="5" w:tplc="624A0888" w:tentative="1">
      <w:start w:val="1"/>
      <w:numFmt w:val="lowerRoman"/>
      <w:lvlText w:val="%6."/>
      <w:lvlJc w:val="right"/>
      <w:pPr>
        <w:ind w:left="5028" w:hanging="360"/>
      </w:pPr>
    </w:lvl>
    <w:lvl w:ilvl="6" w:tplc="A1ACDCF4" w:tentative="1">
      <w:start w:val="1"/>
      <w:numFmt w:val="decimal"/>
      <w:lvlText w:val="%7."/>
      <w:lvlJc w:val="left"/>
      <w:pPr>
        <w:ind w:left="5749" w:hanging="360"/>
      </w:pPr>
    </w:lvl>
    <w:lvl w:ilvl="7" w:tplc="2D7C4DC0" w:tentative="1">
      <w:start w:val="1"/>
      <w:numFmt w:val="lowerLetter"/>
      <w:lvlText w:val="%8."/>
      <w:lvlJc w:val="left"/>
      <w:pPr>
        <w:ind w:left="6469" w:hanging="360"/>
      </w:pPr>
    </w:lvl>
    <w:lvl w:ilvl="8" w:tplc="0D025A14" w:tentative="1">
      <w:start w:val="1"/>
      <w:numFmt w:val="lowerRoman"/>
      <w:lvlText w:val="%9."/>
      <w:lvlJc w:val="right"/>
      <w:pPr>
        <w:ind w:left="7189" w:hanging="360"/>
      </w:p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2"/>
  </w:num>
  <w:num w:numId="5">
    <w:abstractNumId w:val="11"/>
  </w:num>
  <w:num w:numId="6">
    <w:abstractNumId w:val="10"/>
  </w:num>
  <w:num w:numId="7">
    <w:abstractNumId w:val="0"/>
    <w:lvlOverride w:ilvl="0">
      <w:lvl w:ilvl="0">
        <w:numFmt w:val="bullet"/>
        <w:lvlText w:val="·"/>
        <w:lvlJc w:val="left"/>
      </w:lvl>
    </w:lvlOverride>
  </w:num>
  <w:num w:numId="8">
    <w:abstractNumId w:val="25"/>
  </w:num>
  <w:num w:numId="9">
    <w:abstractNumId w:val="19"/>
  </w:num>
  <w:num w:numId="10">
    <w:abstractNumId w:val="15"/>
  </w:num>
  <w:num w:numId="11">
    <w:abstractNumId w:val="16"/>
  </w:num>
  <w:num w:numId="12">
    <w:abstractNumId w:val="13"/>
  </w:num>
  <w:num w:numId="13">
    <w:abstractNumId w:val="23"/>
  </w:num>
  <w:num w:numId="14">
    <w:abstractNumId w:val="9"/>
  </w:num>
  <w:num w:numId="15">
    <w:abstractNumId w:val="2"/>
  </w:num>
  <w:num w:numId="16">
    <w:abstractNumId w:val="18"/>
  </w:num>
  <w:num w:numId="17">
    <w:abstractNumId w:val="8"/>
  </w:num>
  <w:num w:numId="18">
    <w:abstractNumId w:val="4"/>
  </w:num>
  <w:num w:numId="19">
    <w:abstractNumId w:val="20"/>
  </w:num>
  <w:num w:numId="20">
    <w:abstractNumId w:val="3"/>
  </w:num>
  <w:num w:numId="21">
    <w:abstractNumId w:val="14"/>
  </w:num>
  <w:num w:numId="22">
    <w:abstractNumId w:val="1"/>
  </w:num>
  <w:num w:numId="23">
    <w:abstractNumId w:val="17"/>
  </w:num>
  <w:num w:numId="24">
    <w:abstractNumId w:val="7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4E"/>
    <w:rsid w:val="00020E81"/>
    <w:rsid w:val="0003231E"/>
    <w:rsid w:val="00063EDD"/>
    <w:rsid w:val="000643F6"/>
    <w:rsid w:val="000709BD"/>
    <w:rsid w:val="00091844"/>
    <w:rsid w:val="000944F2"/>
    <w:rsid w:val="000D5218"/>
    <w:rsid w:val="000D795C"/>
    <w:rsid w:val="000E1624"/>
    <w:rsid w:val="00105F56"/>
    <w:rsid w:val="001211D3"/>
    <w:rsid w:val="00124063"/>
    <w:rsid w:val="00140E3E"/>
    <w:rsid w:val="00154642"/>
    <w:rsid w:val="00157343"/>
    <w:rsid w:val="001B49B9"/>
    <w:rsid w:val="001C2A48"/>
    <w:rsid w:val="001E0006"/>
    <w:rsid w:val="001F26B4"/>
    <w:rsid w:val="001F630F"/>
    <w:rsid w:val="002076EC"/>
    <w:rsid w:val="00226D8B"/>
    <w:rsid w:val="00236335"/>
    <w:rsid w:val="002512B5"/>
    <w:rsid w:val="0026696E"/>
    <w:rsid w:val="002A1571"/>
    <w:rsid w:val="002A628C"/>
    <w:rsid w:val="002A7F70"/>
    <w:rsid w:val="00306B15"/>
    <w:rsid w:val="003345F0"/>
    <w:rsid w:val="00356BE0"/>
    <w:rsid w:val="00362079"/>
    <w:rsid w:val="00366BB2"/>
    <w:rsid w:val="00382598"/>
    <w:rsid w:val="0038292D"/>
    <w:rsid w:val="003870F4"/>
    <w:rsid w:val="0039097D"/>
    <w:rsid w:val="003B7867"/>
    <w:rsid w:val="003C3B1B"/>
    <w:rsid w:val="003D573A"/>
    <w:rsid w:val="003E39D8"/>
    <w:rsid w:val="003F67F9"/>
    <w:rsid w:val="004036E8"/>
    <w:rsid w:val="00404683"/>
    <w:rsid w:val="004173B0"/>
    <w:rsid w:val="00435532"/>
    <w:rsid w:val="00445F8E"/>
    <w:rsid w:val="0048172C"/>
    <w:rsid w:val="00491AEF"/>
    <w:rsid w:val="00497CA3"/>
    <w:rsid w:val="004A60BA"/>
    <w:rsid w:val="004C4FBA"/>
    <w:rsid w:val="004D640B"/>
    <w:rsid w:val="004E12EF"/>
    <w:rsid w:val="0054365D"/>
    <w:rsid w:val="00543B67"/>
    <w:rsid w:val="005537DA"/>
    <w:rsid w:val="00554062"/>
    <w:rsid w:val="00592D1B"/>
    <w:rsid w:val="005D0FA5"/>
    <w:rsid w:val="005D1E34"/>
    <w:rsid w:val="005D5C36"/>
    <w:rsid w:val="005D62FA"/>
    <w:rsid w:val="006014D9"/>
    <w:rsid w:val="006067DD"/>
    <w:rsid w:val="0061153F"/>
    <w:rsid w:val="0061169D"/>
    <w:rsid w:val="00646E8F"/>
    <w:rsid w:val="00650D8C"/>
    <w:rsid w:val="006511F9"/>
    <w:rsid w:val="006526BF"/>
    <w:rsid w:val="0068204F"/>
    <w:rsid w:val="00685B14"/>
    <w:rsid w:val="00696013"/>
    <w:rsid w:val="006A3BF6"/>
    <w:rsid w:val="006A6DC0"/>
    <w:rsid w:val="006B2702"/>
    <w:rsid w:val="006C4847"/>
    <w:rsid w:val="006F4D88"/>
    <w:rsid w:val="00700BE0"/>
    <w:rsid w:val="0070339E"/>
    <w:rsid w:val="00721A43"/>
    <w:rsid w:val="00722FEC"/>
    <w:rsid w:val="00726C46"/>
    <w:rsid w:val="00741AB7"/>
    <w:rsid w:val="0075771C"/>
    <w:rsid w:val="0076449B"/>
    <w:rsid w:val="007B56DD"/>
    <w:rsid w:val="007B756B"/>
    <w:rsid w:val="007E65EC"/>
    <w:rsid w:val="007E7691"/>
    <w:rsid w:val="008007B6"/>
    <w:rsid w:val="00832240"/>
    <w:rsid w:val="0086449C"/>
    <w:rsid w:val="00897E4C"/>
    <w:rsid w:val="008A5D3F"/>
    <w:rsid w:val="008A73DB"/>
    <w:rsid w:val="008E167A"/>
    <w:rsid w:val="00902DF8"/>
    <w:rsid w:val="0090586A"/>
    <w:rsid w:val="00922A16"/>
    <w:rsid w:val="009541E7"/>
    <w:rsid w:val="0097300E"/>
    <w:rsid w:val="00973400"/>
    <w:rsid w:val="00976533"/>
    <w:rsid w:val="00996F64"/>
    <w:rsid w:val="009A2ADF"/>
    <w:rsid w:val="009C0A3B"/>
    <w:rsid w:val="009C3C52"/>
    <w:rsid w:val="009F3F1C"/>
    <w:rsid w:val="00A136E9"/>
    <w:rsid w:val="00A37554"/>
    <w:rsid w:val="00A41A57"/>
    <w:rsid w:val="00A516FD"/>
    <w:rsid w:val="00A85476"/>
    <w:rsid w:val="00A87894"/>
    <w:rsid w:val="00A95FC0"/>
    <w:rsid w:val="00AB0FA3"/>
    <w:rsid w:val="00AB1E3E"/>
    <w:rsid w:val="00AB701E"/>
    <w:rsid w:val="00AD75AC"/>
    <w:rsid w:val="00B17610"/>
    <w:rsid w:val="00B22F4E"/>
    <w:rsid w:val="00B2413F"/>
    <w:rsid w:val="00B55761"/>
    <w:rsid w:val="00B71D91"/>
    <w:rsid w:val="00BA60F4"/>
    <w:rsid w:val="00BC5937"/>
    <w:rsid w:val="00BE3989"/>
    <w:rsid w:val="00C40CB8"/>
    <w:rsid w:val="00C46C5C"/>
    <w:rsid w:val="00C756B1"/>
    <w:rsid w:val="00C81C7F"/>
    <w:rsid w:val="00CC3731"/>
    <w:rsid w:val="00CC4EE2"/>
    <w:rsid w:val="00CC5A86"/>
    <w:rsid w:val="00CF0366"/>
    <w:rsid w:val="00D04C62"/>
    <w:rsid w:val="00D051AA"/>
    <w:rsid w:val="00D075F6"/>
    <w:rsid w:val="00D307C7"/>
    <w:rsid w:val="00D33145"/>
    <w:rsid w:val="00DA3E8A"/>
    <w:rsid w:val="00DB1887"/>
    <w:rsid w:val="00DE415E"/>
    <w:rsid w:val="00DE4692"/>
    <w:rsid w:val="00DF1BAF"/>
    <w:rsid w:val="00E206AA"/>
    <w:rsid w:val="00E451B4"/>
    <w:rsid w:val="00E457FA"/>
    <w:rsid w:val="00E60C7C"/>
    <w:rsid w:val="00E6223A"/>
    <w:rsid w:val="00E866D2"/>
    <w:rsid w:val="00E904DF"/>
    <w:rsid w:val="00E9187E"/>
    <w:rsid w:val="00EA2368"/>
    <w:rsid w:val="00EB7EAF"/>
    <w:rsid w:val="00EC47DE"/>
    <w:rsid w:val="00ED2D42"/>
    <w:rsid w:val="00EF63AD"/>
    <w:rsid w:val="00F24A6D"/>
    <w:rsid w:val="00F40AB5"/>
    <w:rsid w:val="00F82B4B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9D13"/>
  <w15:docId w15:val="{0B9558B0-BDDD-48F7-9367-0720239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6">
    <w:name w:val="Intense Quote"/>
    <w:link w:val="a7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link w:val="a6"/>
    <w:uiPriority w:val="30"/>
    <w:rPr>
      <w:b/>
      <w:bCs/>
      <w:i/>
      <w:iCs/>
      <w:color w:val="4F81BD" w:themeColor="accent1"/>
    </w:rPr>
  </w:style>
  <w:style w:type="character" w:styleId="a8">
    <w:name w:val="Subtle Reference"/>
    <w:uiPriority w:val="31"/>
    <w:qFormat/>
    <w:rPr>
      <w:smallCaps/>
      <w:color w:val="C0504D" w:themeColor="accent2"/>
      <w:u w:val="single"/>
    </w:rPr>
  </w:style>
  <w:style w:type="character" w:styleId="a9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unhideWhenUsed/>
    <w:rPr>
      <w:vertAlign w:val="superscript"/>
    </w:rPr>
  </w:style>
  <w:style w:type="paragraph" w:styleId="ac">
    <w:name w:val="endnote text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customStyle="1" w:styleId="Ch-book-content-inner">
    <w:name w:val="Ch-book-content-inner"/>
    <w:basedOn w:val="a0"/>
    <w:uiPriority w:val="99"/>
  </w:style>
  <w:style w:type="character" w:customStyle="1" w:styleId="Ch-book-title-inner">
    <w:name w:val="Ch-book-title-inner"/>
    <w:basedOn w:val="a0"/>
    <w:uiPriority w:val="99"/>
  </w:style>
  <w:style w:type="paragraph" w:styleId="af1">
    <w:name w:val="TOC Heading"/>
    <w:basedOn w:val="1"/>
    <w:next w:val="a"/>
    <w:uiPriority w:val="39"/>
    <w:unhideWhenUsed/>
    <w:qFormat/>
  </w:style>
  <w:style w:type="paragraph" w:styleId="11">
    <w:name w:val="toc 1"/>
    <w:basedOn w:val="a"/>
    <w:next w:val="a"/>
    <w:uiPriority w:val="99"/>
    <w:unhideWhenUsed/>
    <w:pPr>
      <w:tabs>
        <w:tab w:val="left" w:pos="440"/>
        <w:tab w:val="right" w:leader="dot" w:pos="9498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99"/>
    <w:qFormat/>
    <w:rPr>
      <w:i/>
      <w:iCs/>
    </w:rPr>
  </w:style>
  <w:style w:type="paragraph" w:styleId="af7">
    <w:name w:val="Body Text"/>
    <w:basedOn w:val="a"/>
    <w:link w:val="af8"/>
    <w:uiPriority w:val="1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"/>
    <w:link w:val="afa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e">
    <w:name w:val="Заголовок Знак"/>
    <w:basedOn w:val="a0"/>
    <w:link w:val="afd"/>
    <w:uiPriority w:val="9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5">
    <w:name w:val="Font Style145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uiPriority w:val="99"/>
    <w:pPr>
      <w:widowControl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4">
    <w:name w:val="Style74"/>
    <w:basedOn w:val="a"/>
    <w:uiPriority w:val="99"/>
    <w:pPr>
      <w:widowControl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pPr>
      <w:widowControl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pPr>
      <w:widowControl w:val="0"/>
      <w:spacing w:after="0" w:line="27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165">
    <w:name w:val="Font Style165"/>
    <w:uiPriority w:val="99"/>
    <w:rPr>
      <w:rFonts w:ascii="Arial" w:hAnsi="Arial" w:cs="Arial"/>
      <w:b/>
      <w:bCs/>
      <w:sz w:val="24"/>
      <w:szCs w:val="24"/>
    </w:rPr>
  </w:style>
  <w:style w:type="paragraph" w:customStyle="1" w:styleId="Style33">
    <w:name w:val="Style33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3">
    <w:name w:val="Font Style143"/>
    <w:uiPriority w:val="9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7">
    <w:name w:val="Style87"/>
    <w:basedOn w:val="a"/>
    <w:uiPriority w:val="99"/>
    <w:pPr>
      <w:widowControl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pPr>
      <w:widowControl w:val="0"/>
      <w:spacing w:after="0" w:line="274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pPr>
      <w:widowControl w:val="0"/>
      <w:spacing w:after="0" w:line="27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Pr>
      <w:rFonts w:ascii="Times New Roman" w:hAnsi="Times New Roman" w:cs="Times New Roman"/>
      <w:sz w:val="18"/>
      <w:szCs w:val="18"/>
    </w:rPr>
  </w:style>
  <w:style w:type="paragraph" w:customStyle="1" w:styleId="Oaeno">
    <w:name w:val="Oaeno"/>
    <w:basedOn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Block Text"/>
    <w:basedOn w:val="a"/>
    <w:uiPriority w:val="99"/>
    <w:pPr>
      <w:widowControl w:val="0"/>
      <w:spacing w:after="0" w:line="240" w:lineRule="auto"/>
      <w:ind w:left="-567" w:right="-6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Subtitle"/>
    <w:basedOn w:val="a"/>
    <w:link w:val="aff1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2">
    <w:name w:val="header"/>
    <w:basedOn w:val="a"/>
    <w:link w:val="aff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basedOn w:val="a0"/>
    <w:uiPriority w:val="99"/>
  </w:style>
  <w:style w:type="paragraph" w:styleId="aff5">
    <w:name w:val="footnote text"/>
    <w:basedOn w:val="a"/>
    <w:link w:val="aff6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uiPriority w:val="99"/>
    <w:pPr>
      <w:widowControl w:val="0"/>
      <w:spacing w:before="260" w:after="0" w:line="300" w:lineRule="auto"/>
      <w:ind w:firstLine="72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ff7">
    <w:name w:val="caption"/>
    <w:basedOn w:val="a"/>
    <w:next w:val="a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uiPriority w:val="9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footer"/>
    <w:basedOn w:val="a"/>
    <w:link w:val="af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Нижний колонтитул Знак"/>
    <w:basedOn w:val="a0"/>
    <w:link w:val="aff8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affa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uiPriority w:val="99"/>
    <w:semiHidden/>
    <w:pPr>
      <w:tabs>
        <w:tab w:val="right" w:leader="dot" w:pos="934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List"/>
    <w:basedOn w:val="a"/>
    <w:uiPriority w:val="99"/>
    <w:pPr>
      <w:widowControl w:val="0"/>
      <w:tabs>
        <w:tab w:val="num" w:pos="36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"/>
    <w:link w:val="27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uiPriority w:val="99"/>
    <w:pPr>
      <w:widowControl w:val="0"/>
      <w:spacing w:after="0" w:line="254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???????"/>
    <w:uiPriority w:val="99"/>
    <w:pPr>
      <w:widowControl w:val="0"/>
      <w:spacing w:after="0"/>
      <w:ind w:firstLine="2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ight">
    <w:name w:val="Right"/>
    <w:basedOn w:val="a"/>
    <w:uiPriority w:val="99"/>
    <w:pPr>
      <w:spacing w:after="0" w:line="240" w:lineRule="auto"/>
      <w:ind w:left="595" w:right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</w:style>
  <w:style w:type="character" w:customStyle="1" w:styleId="Tablecaption">
    <w:name w:val="Table caption_"/>
    <w:link w:val="Tablecaption1"/>
    <w:uiPriority w:val="99"/>
    <w:rPr>
      <w:sz w:val="24"/>
      <w:szCs w:val="24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pPr>
      <w:widowControl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pPr>
      <w:widowControl w:val="0"/>
      <w:spacing w:after="0" w:line="27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pPr>
      <w:widowControl w:val="0"/>
      <w:spacing w:after="0" w:line="27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uiPriority w:val="99"/>
    <w:pPr>
      <w:widowControl w:val="0"/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2">
    <w:name w:val="Style92"/>
    <w:basedOn w:val="a"/>
    <w:uiPriority w:val="99"/>
    <w:pPr>
      <w:widowControl w:val="0"/>
      <w:spacing w:after="0" w:line="274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Mwe-math-mathml-inline">
    <w:name w:val="Mwe-math-mathml-inline"/>
    <w:basedOn w:val="a0"/>
    <w:uiPriority w:val="99"/>
  </w:style>
  <w:style w:type="paragraph" w:customStyle="1" w:styleId="Msonormal0">
    <w:name w:val="Msonormal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uiPriority w:val="99"/>
  </w:style>
  <w:style w:type="character" w:customStyle="1" w:styleId="Mw-editsection-bracket">
    <w:name w:val="Mw-editsection-bracket"/>
    <w:basedOn w:val="a0"/>
    <w:uiPriority w:val="99"/>
  </w:style>
  <w:style w:type="character" w:customStyle="1" w:styleId="Mw-editsection-divider">
    <w:name w:val="Mw-editsection-divider"/>
    <w:basedOn w:val="a0"/>
    <w:uiPriority w:val="99"/>
  </w:style>
  <w:style w:type="character" w:customStyle="1" w:styleId="Noprint">
    <w:name w:val="Noprint"/>
    <w:basedOn w:val="a0"/>
    <w:uiPriority w:val="99"/>
  </w:style>
  <w:style w:type="character" w:customStyle="1" w:styleId="Mwe-math-element">
    <w:name w:val="Mwe-math-element"/>
    <w:basedOn w:val="a0"/>
    <w:uiPriority w:val="99"/>
  </w:style>
  <w:style w:type="character" w:customStyle="1" w:styleId="U5baae019">
    <w:name w:val="U5baae019"/>
    <w:basedOn w:val="a0"/>
    <w:uiPriority w:val="99"/>
  </w:style>
  <w:style w:type="character" w:customStyle="1" w:styleId="Articleseperator">
    <w:name w:val="Article_seperato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162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89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9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0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0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03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2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2024-03-18T09:26:00Z</dcterms:created>
  <dcterms:modified xsi:type="dcterms:W3CDTF">2024-03-18T09:34:00Z</dcterms:modified>
</cp:coreProperties>
</file>