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0C" w:rsidRPr="003B2C23" w:rsidRDefault="00071E0C" w:rsidP="00071E0C">
      <w:pPr>
        <w:spacing w:before="120" w:after="120"/>
        <w:rPr>
          <w:rFonts w:eastAsia="Calibri"/>
          <w:b/>
          <w:bCs/>
          <w:iCs/>
        </w:rPr>
      </w:pPr>
    </w:p>
    <w:tbl>
      <w:tblPr>
        <w:tblStyle w:val="aa"/>
        <w:tblW w:w="9188" w:type="dxa"/>
        <w:tblLook w:val="04A0"/>
      </w:tblPr>
      <w:tblGrid>
        <w:gridCol w:w="704"/>
        <w:gridCol w:w="7088"/>
        <w:gridCol w:w="1396"/>
      </w:tblGrid>
      <w:tr w:rsidR="00071E0C" w:rsidTr="00071E0C">
        <w:tc>
          <w:tcPr>
            <w:tcW w:w="704" w:type="dxa"/>
            <w:vAlign w:val="center"/>
          </w:tcPr>
          <w:p w:rsidR="00071E0C" w:rsidRPr="00F9242C" w:rsidRDefault="00071E0C" w:rsidP="002D25B7">
            <w:pPr>
              <w:tabs>
                <w:tab w:val="left" w:pos="0"/>
              </w:tabs>
              <w:contextualSpacing/>
              <w:jc w:val="center"/>
              <w:rPr>
                <w:b/>
                <w:bCs/>
                <w:iCs/>
              </w:rPr>
            </w:pPr>
            <w:r>
              <w:rPr>
                <w:b/>
                <w:bCs/>
                <w:iCs/>
              </w:rPr>
              <w:t>№</w:t>
            </w:r>
          </w:p>
        </w:tc>
        <w:tc>
          <w:tcPr>
            <w:tcW w:w="7088" w:type="dxa"/>
          </w:tcPr>
          <w:p w:rsidR="00071E0C" w:rsidRPr="00071E0C" w:rsidRDefault="00071E0C" w:rsidP="002D25B7">
            <w:pPr>
              <w:tabs>
                <w:tab w:val="left" w:pos="0"/>
              </w:tabs>
              <w:contextualSpacing/>
              <w:jc w:val="center"/>
              <w:rPr>
                <w:rFonts w:ascii="Times New Roman" w:hAnsi="Times New Roman"/>
                <w:b/>
                <w:bCs/>
                <w:iCs/>
              </w:rPr>
            </w:pPr>
            <w:r w:rsidRPr="00071E0C">
              <w:rPr>
                <w:rFonts w:ascii="Times New Roman" w:hAnsi="Times New Roman"/>
                <w:b/>
                <w:bCs/>
                <w:iCs/>
                <w:sz w:val="28"/>
              </w:rPr>
              <w:t>Перечень вопросов к экзамену</w:t>
            </w:r>
          </w:p>
        </w:tc>
        <w:tc>
          <w:tcPr>
            <w:tcW w:w="1396" w:type="dxa"/>
          </w:tcPr>
          <w:p w:rsidR="00071E0C" w:rsidRPr="00F9242C" w:rsidRDefault="00071E0C" w:rsidP="002D25B7">
            <w:pPr>
              <w:tabs>
                <w:tab w:val="left" w:pos="0"/>
              </w:tabs>
              <w:contextualSpacing/>
              <w:jc w:val="center"/>
              <w:rPr>
                <w:b/>
                <w:bCs/>
                <w:iCs/>
              </w:rPr>
            </w:pPr>
            <w:r w:rsidRPr="00F9242C">
              <w:rPr>
                <w:b/>
                <w:bCs/>
                <w:iCs/>
              </w:rPr>
              <w:t>Индикаторы компетенций</w:t>
            </w:r>
          </w:p>
        </w:tc>
      </w:tr>
      <w:tr w:rsidR="00071E0C"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rPr>
                <w:rFonts w:ascii="Times New Roman" w:hAnsi="Times New Roman"/>
                <w:b/>
                <w:bCs/>
                <w:sz w:val="24"/>
                <w:szCs w:val="24"/>
              </w:rPr>
            </w:pPr>
            <w:r w:rsidRPr="00071E0C">
              <w:rPr>
                <w:rFonts w:ascii="Times New Roman" w:hAnsi="Times New Roman"/>
                <w:b/>
                <w:bCs/>
                <w:sz w:val="24"/>
                <w:szCs w:val="24"/>
              </w:rPr>
              <w:t>Методология науки как область научного познания. Задачи методологии науки.</w:t>
            </w:r>
          </w:p>
        </w:tc>
        <w:tc>
          <w:tcPr>
            <w:tcW w:w="1396" w:type="dxa"/>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Структура методологического знания.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Теоретическое и эмпирическое научное знание. Структура теоретического знания.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Принцип системности, его сущность и методологическое значение.</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Основные принципы психологии, их классификация и роль в познавательной и практической деятельности психолога.</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Принцип детерминизма как ведущий принцип научной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 xml:space="preserve">Принцип единства сознания и деятельности. Методология </w:t>
            </w:r>
            <w:proofErr w:type="spellStart"/>
            <w:r w:rsidRPr="00071E0C">
              <w:rPr>
                <w:rFonts w:ascii="Times New Roman" w:hAnsi="Times New Roman"/>
                <w:b/>
                <w:bCs/>
                <w:sz w:val="24"/>
                <w:szCs w:val="24"/>
              </w:rPr>
              <w:t>деятельностного</w:t>
            </w:r>
            <w:proofErr w:type="spellEnd"/>
            <w:r w:rsidRPr="00071E0C">
              <w:rPr>
                <w:rFonts w:ascii="Times New Roman" w:hAnsi="Times New Roman"/>
                <w:b/>
                <w:bCs/>
                <w:sz w:val="24"/>
                <w:szCs w:val="24"/>
              </w:rPr>
              <w:t xml:space="preserve"> подхода к изучению психики.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Принцип развития в психологии, его содержание и методологическое значение для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 xml:space="preserve">Принцип историзма. Культурно-историческая теория В. С. </w:t>
            </w:r>
            <w:proofErr w:type="spellStart"/>
            <w:r w:rsidRPr="00071E0C">
              <w:rPr>
                <w:rFonts w:ascii="Times New Roman" w:hAnsi="Times New Roman"/>
                <w:b/>
                <w:bCs/>
                <w:sz w:val="24"/>
                <w:szCs w:val="24"/>
              </w:rPr>
              <w:t>Выготского</w:t>
            </w:r>
            <w:proofErr w:type="spellEnd"/>
            <w:r w:rsidRPr="00071E0C">
              <w:rPr>
                <w:rFonts w:ascii="Times New Roman" w:hAnsi="Times New Roman"/>
                <w:b/>
                <w:bCs/>
                <w:sz w:val="24"/>
                <w:szCs w:val="24"/>
              </w:rPr>
              <w:t>.</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Основные понятия методологии науки: предмет исследования, объект исследования, познавательная ситуация.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rPr>
          <w:trHeight w:val="1543"/>
        </w:trPr>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Pr>
                <w:rFonts w:ascii="Times New Roman" w:hAnsi="Times New Roman"/>
                <w:b/>
                <w:bCs/>
                <w:sz w:val="24"/>
                <w:szCs w:val="24"/>
              </w:rPr>
              <w:t>Э</w:t>
            </w:r>
            <w:r w:rsidRPr="00071E0C">
              <w:rPr>
                <w:rFonts w:ascii="Times New Roman" w:hAnsi="Times New Roman"/>
                <w:b/>
                <w:bCs/>
                <w:sz w:val="24"/>
                <w:szCs w:val="24"/>
              </w:rPr>
              <w:t>тапы научного исследования. Программа психологического исследования.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 xml:space="preserve">ОПК-1.1.1, ОПК-1.2.1, </w:t>
            </w:r>
          </w:p>
          <w:p w:rsidR="00071E0C" w:rsidRPr="00071E0C" w:rsidRDefault="00071E0C" w:rsidP="002D25B7">
            <w:pPr>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rPr>
                <w:rFonts w:ascii="Times New Roman" w:hAnsi="Times New Roman"/>
                <w:sz w:val="24"/>
                <w:szCs w:val="24"/>
              </w:rPr>
            </w:pPr>
            <w:r w:rsidRPr="00071E0C">
              <w:rPr>
                <w:rFonts w:ascii="Times New Roman" w:hAnsi="Times New Roman"/>
                <w:sz w:val="24"/>
                <w:szCs w:val="24"/>
              </w:rPr>
              <w:t>УК-1.3.1</w:t>
            </w:r>
          </w:p>
          <w:p w:rsidR="00071E0C" w:rsidRPr="00071E0C" w:rsidRDefault="00071E0C" w:rsidP="002D25B7">
            <w:pPr>
              <w:rPr>
                <w:rFonts w:ascii="Times New Roman" w:hAnsi="Times New Roman"/>
                <w:sz w:val="24"/>
                <w:szCs w:val="24"/>
              </w:rPr>
            </w:pP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Гипотеза научного исследования. Доказательство гипотезы в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Психологическое исследование: виды, этапы, планы исследований, достоверность выводов. Формирование выборки для психологического исследования.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proofErr w:type="spellStart"/>
            <w:r w:rsidRPr="00071E0C">
              <w:rPr>
                <w:rFonts w:ascii="Times New Roman" w:hAnsi="Times New Roman"/>
                <w:b/>
                <w:bCs/>
                <w:sz w:val="24"/>
                <w:szCs w:val="24"/>
              </w:rPr>
              <w:t>Номотетические</w:t>
            </w:r>
            <w:proofErr w:type="spellEnd"/>
            <w:r w:rsidRPr="00071E0C">
              <w:rPr>
                <w:rFonts w:ascii="Times New Roman" w:hAnsi="Times New Roman"/>
                <w:b/>
                <w:bCs/>
                <w:sz w:val="24"/>
                <w:szCs w:val="24"/>
              </w:rPr>
              <w:t xml:space="preserve"> и идеографические методы.</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Основы эксперимента в психологии. Классификации психологического эксперимента.</w:t>
            </w:r>
            <w:r w:rsidRPr="00071E0C">
              <w:rPr>
                <w:rFonts w:ascii="Times New Roman" w:hAnsi="Times New Roman"/>
                <w:sz w:val="24"/>
                <w:szCs w:val="24"/>
              </w:rPr>
              <w:t xml:space="preserve"> </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Опросные методы в психологии</w:t>
            </w:r>
            <w:r w:rsidRPr="00071E0C">
              <w:rPr>
                <w:rFonts w:ascii="Times New Roman" w:hAnsi="Times New Roman"/>
                <w:kern w:val="28"/>
                <w:sz w:val="24"/>
                <w:szCs w:val="24"/>
              </w:rPr>
              <w:t xml:space="preserve"> </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Наблюдение в психологии. Схемы наблюдения.</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 ОПК-1.2.1</w:t>
            </w:r>
          </w:p>
        </w:tc>
      </w:tr>
      <w:tr w:rsidR="00071E0C" w:rsidRPr="00F65EF6" w:rsidTr="00071E0C">
        <w:tc>
          <w:tcPr>
            <w:tcW w:w="704" w:type="dxa"/>
            <w:vAlign w:val="center"/>
          </w:tcPr>
          <w:p w:rsidR="00071E0C" w:rsidRPr="00832008"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i/>
                <w:sz w:val="24"/>
                <w:szCs w:val="24"/>
              </w:rPr>
            </w:pPr>
            <w:r w:rsidRPr="00071E0C">
              <w:rPr>
                <w:rFonts w:ascii="Times New Roman" w:hAnsi="Times New Roman"/>
                <w:b/>
                <w:bCs/>
                <w:sz w:val="24"/>
                <w:szCs w:val="24"/>
              </w:rPr>
              <w:t>Общая характеристика фундаментальных методологических проблем современной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Отражение как основная категория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Категории «сознание» и «бессознательное» в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b/>
                <w:bCs/>
                <w:sz w:val="24"/>
                <w:szCs w:val="24"/>
              </w:rPr>
            </w:pPr>
            <w:r w:rsidRPr="00071E0C">
              <w:rPr>
                <w:rFonts w:ascii="Times New Roman" w:hAnsi="Times New Roman"/>
                <w:b/>
                <w:bCs/>
                <w:sz w:val="24"/>
                <w:szCs w:val="24"/>
              </w:rPr>
              <w:t>Методологические проблемы в определении категории «личность». Критерии оценки теорий личности.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071E0C">
            <w:pPr>
              <w:jc w:val="both"/>
              <w:rPr>
                <w:rFonts w:ascii="Times New Roman" w:hAnsi="Times New Roman"/>
                <w:sz w:val="24"/>
                <w:szCs w:val="24"/>
              </w:rPr>
            </w:pPr>
            <w:r w:rsidRPr="00071E0C">
              <w:rPr>
                <w:rFonts w:ascii="Times New Roman" w:hAnsi="Times New Roman"/>
                <w:b/>
                <w:bCs/>
                <w:sz w:val="24"/>
                <w:szCs w:val="24"/>
              </w:rPr>
              <w:t>Категория «деятельность» в психологии. Теория деятельности А.Н. Леонтьева</w:t>
            </w:r>
            <w:r w:rsidRPr="00071E0C">
              <w:rPr>
                <w:rFonts w:ascii="Times New Roman" w:hAnsi="Times New Roman"/>
                <w:sz w:val="24"/>
                <w:szCs w:val="24"/>
              </w:rPr>
              <w:t>.</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 xml:space="preserve">Основное содержание и методологическое значение категории </w:t>
            </w:r>
            <w:r w:rsidRPr="00071E0C">
              <w:rPr>
                <w:rFonts w:ascii="Times New Roman" w:hAnsi="Times New Roman"/>
                <w:b/>
                <w:bCs/>
                <w:sz w:val="24"/>
                <w:szCs w:val="24"/>
              </w:rPr>
              <w:lastRenderedPageBreak/>
              <w:t>общения в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lastRenderedPageBreak/>
              <w:t>ОПК-1.1.1</w:t>
            </w:r>
          </w:p>
        </w:tc>
      </w:tr>
      <w:tr w:rsidR="00071E0C" w:rsidRPr="00F65EF6" w:rsidTr="00071E0C">
        <w:tc>
          <w:tcPr>
            <w:tcW w:w="704" w:type="dxa"/>
            <w:vAlign w:val="center"/>
          </w:tcPr>
          <w:p w:rsidR="00071E0C" w:rsidRPr="00FC58A6"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Категория субъекта в психологии. Принцип активности в психологии.</w:t>
            </w:r>
          </w:p>
        </w:tc>
        <w:tc>
          <w:tcPr>
            <w:tcW w:w="1396" w:type="dxa"/>
            <w:vAlign w:val="center"/>
          </w:tcPr>
          <w:p w:rsidR="00071E0C" w:rsidRPr="00071E0C" w:rsidRDefault="00071E0C" w:rsidP="002D25B7">
            <w:pPr>
              <w:rPr>
                <w:rFonts w:ascii="Times New Roman" w:hAnsi="Times New Roman"/>
                <w:sz w:val="24"/>
                <w:szCs w:val="24"/>
              </w:rPr>
            </w:pPr>
            <w:r w:rsidRPr="00071E0C">
              <w:rPr>
                <w:rFonts w:ascii="Times New Roman" w:hAnsi="Times New Roman"/>
                <w:sz w:val="24"/>
                <w:szCs w:val="24"/>
              </w:rPr>
              <w:t>ОПК-1.1.1</w:t>
            </w:r>
          </w:p>
        </w:tc>
      </w:tr>
      <w:tr w:rsidR="00071E0C" w:rsidRPr="00F65EF6"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Прикладное исследование в психологии.</w:t>
            </w:r>
          </w:p>
          <w:p w:rsidR="00071E0C" w:rsidRPr="00071E0C" w:rsidRDefault="00071E0C" w:rsidP="002D25B7">
            <w:pPr>
              <w:jc w:val="both"/>
              <w:rPr>
                <w:rFonts w:ascii="Times New Roman" w:hAnsi="Times New Roman"/>
                <w:b/>
                <w:bCs/>
                <w:sz w:val="24"/>
                <w:szCs w:val="24"/>
              </w:rPr>
            </w:pP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rPr>
                <w:rFonts w:ascii="Times New Roman" w:hAnsi="Times New Roman"/>
                <w:sz w:val="24"/>
                <w:szCs w:val="24"/>
              </w:rPr>
            </w:pPr>
            <w:r w:rsidRPr="00071E0C">
              <w:rPr>
                <w:rFonts w:ascii="Times New Roman" w:hAnsi="Times New Roman"/>
                <w:sz w:val="24"/>
                <w:szCs w:val="24"/>
              </w:rPr>
              <w:t>УК-1.3.1</w:t>
            </w:r>
          </w:p>
        </w:tc>
      </w:tr>
      <w:tr w:rsidR="00071E0C" w:rsidRPr="00F65EF6"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Методы практической психологии.</w:t>
            </w:r>
          </w:p>
          <w:p w:rsidR="00071E0C" w:rsidRPr="00071E0C" w:rsidRDefault="00071E0C" w:rsidP="002D25B7">
            <w:pPr>
              <w:rPr>
                <w:rFonts w:ascii="Times New Roman" w:hAnsi="Times New Roman"/>
                <w:sz w:val="24"/>
                <w:szCs w:val="24"/>
              </w:rPr>
            </w:pPr>
            <w:r w:rsidRPr="00071E0C">
              <w:rPr>
                <w:rFonts w:ascii="Times New Roman" w:hAnsi="Times New Roman"/>
                <w:kern w:val="28"/>
                <w:sz w:val="24"/>
                <w:szCs w:val="24"/>
              </w:rPr>
              <w:t xml:space="preserve"> </w:t>
            </w: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УК-1.3.1</w:t>
            </w:r>
          </w:p>
        </w:tc>
      </w:tr>
      <w:tr w:rsidR="00071E0C" w:rsidRPr="00583CF9"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napToGrid w:val="0"/>
                <w:sz w:val="24"/>
                <w:szCs w:val="24"/>
              </w:rPr>
            </w:pPr>
            <w:r w:rsidRPr="00071E0C">
              <w:rPr>
                <w:rFonts w:ascii="Times New Roman" w:hAnsi="Times New Roman"/>
                <w:b/>
                <w:bCs/>
                <w:snapToGrid w:val="0"/>
                <w:sz w:val="24"/>
                <w:szCs w:val="24"/>
              </w:rPr>
              <w:t xml:space="preserve">Методы разработки проблемных ситуаций на основе системного подхода. </w:t>
            </w:r>
          </w:p>
          <w:p w:rsidR="00071E0C" w:rsidRPr="00071E0C" w:rsidRDefault="00071E0C" w:rsidP="002D25B7">
            <w:pPr>
              <w:pStyle w:val="Default"/>
              <w:jc w:val="both"/>
            </w:pPr>
            <w:r w:rsidRPr="00071E0C">
              <w:t>.</w:t>
            </w: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УК-1.3.1</w:t>
            </w:r>
          </w:p>
        </w:tc>
      </w:tr>
      <w:tr w:rsidR="00071E0C" w:rsidRPr="00F65EF6"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Методы разрешения проблемных ситуаций на основе системного анализа.</w:t>
            </w: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УК-1.3.1</w:t>
            </w:r>
          </w:p>
        </w:tc>
      </w:tr>
      <w:tr w:rsidR="00071E0C" w:rsidRPr="00F65EF6"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b/>
                <w:bCs/>
                <w:sz w:val="24"/>
                <w:szCs w:val="24"/>
              </w:rPr>
            </w:pPr>
            <w:r w:rsidRPr="00071E0C">
              <w:rPr>
                <w:rFonts w:ascii="Times New Roman" w:hAnsi="Times New Roman"/>
                <w:b/>
                <w:bCs/>
                <w:sz w:val="24"/>
                <w:szCs w:val="24"/>
              </w:rPr>
              <w:t>Реализация принципа системности в психологии.</w:t>
            </w:r>
          </w:p>
          <w:p w:rsidR="00071E0C" w:rsidRPr="00071E0C" w:rsidRDefault="00071E0C" w:rsidP="00071E0C">
            <w:pPr>
              <w:pStyle w:val="Default"/>
              <w:numPr>
                <w:ilvl w:val="0"/>
                <w:numId w:val="5"/>
              </w:numPr>
              <w:ind w:left="0"/>
              <w:jc w:val="both"/>
            </w:pP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УК-1.3.1</w:t>
            </w:r>
          </w:p>
        </w:tc>
      </w:tr>
      <w:tr w:rsidR="00071E0C" w:rsidRPr="00F65EF6" w:rsidTr="00071E0C">
        <w:tc>
          <w:tcPr>
            <w:tcW w:w="704" w:type="dxa"/>
            <w:vAlign w:val="center"/>
          </w:tcPr>
          <w:p w:rsidR="00071E0C" w:rsidRPr="000B614B" w:rsidRDefault="00071E0C" w:rsidP="00071E0C">
            <w:pPr>
              <w:pStyle w:val="a3"/>
              <w:numPr>
                <w:ilvl w:val="0"/>
                <w:numId w:val="9"/>
              </w:numPr>
              <w:tabs>
                <w:tab w:val="left" w:pos="164"/>
              </w:tabs>
              <w:ind w:left="22" w:hanging="22"/>
              <w:jc w:val="both"/>
            </w:pPr>
          </w:p>
        </w:tc>
        <w:tc>
          <w:tcPr>
            <w:tcW w:w="7088" w:type="dxa"/>
            <w:vAlign w:val="center"/>
          </w:tcPr>
          <w:p w:rsidR="00071E0C" w:rsidRPr="00071E0C" w:rsidRDefault="00071E0C" w:rsidP="002D25B7">
            <w:pPr>
              <w:jc w:val="both"/>
              <w:rPr>
                <w:rFonts w:ascii="Times New Roman" w:hAnsi="Times New Roman"/>
                <w:sz w:val="24"/>
                <w:szCs w:val="24"/>
              </w:rPr>
            </w:pPr>
            <w:r w:rsidRPr="00071E0C">
              <w:rPr>
                <w:rFonts w:ascii="Times New Roman" w:hAnsi="Times New Roman"/>
                <w:b/>
                <w:bCs/>
                <w:sz w:val="24"/>
                <w:szCs w:val="24"/>
              </w:rPr>
              <w:t>Критическое мышление: основные характеристики</w:t>
            </w:r>
            <w:r w:rsidRPr="00071E0C">
              <w:rPr>
                <w:rFonts w:ascii="Times New Roman" w:hAnsi="Times New Roman"/>
                <w:sz w:val="24"/>
                <w:szCs w:val="24"/>
              </w:rPr>
              <w:t>.</w:t>
            </w:r>
          </w:p>
          <w:p w:rsidR="00071E0C" w:rsidRPr="00071E0C" w:rsidRDefault="00071E0C" w:rsidP="002D25B7">
            <w:pPr>
              <w:jc w:val="both"/>
              <w:rPr>
                <w:rFonts w:ascii="Times New Roman" w:hAnsi="Times New Roman"/>
                <w:sz w:val="24"/>
                <w:szCs w:val="24"/>
              </w:rPr>
            </w:pPr>
            <w:r w:rsidRPr="00071E0C">
              <w:rPr>
                <w:rFonts w:ascii="Times New Roman" w:hAnsi="Times New Roman"/>
                <w:sz w:val="24"/>
                <w:szCs w:val="24"/>
              </w:rPr>
              <w:t xml:space="preserve"> </w:t>
            </w:r>
          </w:p>
        </w:tc>
        <w:tc>
          <w:tcPr>
            <w:tcW w:w="1396" w:type="dxa"/>
            <w:vAlign w:val="center"/>
          </w:tcPr>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УК-1.1.1,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 xml:space="preserve">УК-1.2.1, </w:t>
            </w:r>
          </w:p>
          <w:p w:rsidR="00071E0C" w:rsidRPr="00071E0C" w:rsidRDefault="00071E0C" w:rsidP="002D25B7">
            <w:pPr>
              <w:tabs>
                <w:tab w:val="left" w:pos="567"/>
              </w:tabs>
              <w:rPr>
                <w:rFonts w:ascii="Times New Roman" w:hAnsi="Times New Roman"/>
                <w:sz w:val="24"/>
                <w:szCs w:val="24"/>
              </w:rPr>
            </w:pPr>
            <w:r w:rsidRPr="00071E0C">
              <w:rPr>
                <w:rFonts w:ascii="Times New Roman" w:hAnsi="Times New Roman"/>
                <w:sz w:val="24"/>
                <w:szCs w:val="24"/>
              </w:rPr>
              <w:t>УК-1.3.1</w:t>
            </w:r>
          </w:p>
        </w:tc>
      </w:tr>
    </w:tbl>
    <w:p w:rsidR="00AC3C71" w:rsidRDefault="00AC3C71"/>
    <w:sectPr w:rsidR="00AC3C71"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
    <w:nsid w:val="05EB3F28"/>
    <w:multiLevelType w:val="hybridMultilevel"/>
    <w:tmpl w:val="60C61768"/>
    <w:lvl w:ilvl="0" w:tplc="74E4DF8A">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E5000"/>
    <w:multiLevelType w:val="hybridMultilevel"/>
    <w:tmpl w:val="EC2E31E2"/>
    <w:lvl w:ilvl="0" w:tplc="5E3CB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D91F49"/>
    <w:multiLevelType w:val="hybridMultilevel"/>
    <w:tmpl w:val="46185B50"/>
    <w:lvl w:ilvl="0" w:tplc="5C720D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44B84"/>
    <w:multiLevelType w:val="hybridMultilevel"/>
    <w:tmpl w:val="D90E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07487"/>
    <w:multiLevelType w:val="hybridMultilevel"/>
    <w:tmpl w:val="4482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B0E08"/>
    <w:multiLevelType w:val="hybridMultilevel"/>
    <w:tmpl w:val="655864A8"/>
    <w:lvl w:ilvl="0" w:tplc="261EB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5823BB"/>
    <w:multiLevelType w:val="hybridMultilevel"/>
    <w:tmpl w:val="599A0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52E9C"/>
    <w:multiLevelType w:val="singleLevel"/>
    <w:tmpl w:val="A49A58FC"/>
    <w:lvl w:ilvl="0">
      <w:start w:val="1"/>
      <w:numFmt w:val="decimal"/>
      <w:lvlText w:val="%1)"/>
      <w:lvlJc w:val="left"/>
      <w:pPr>
        <w:tabs>
          <w:tab w:val="num" w:pos="1080"/>
        </w:tabs>
        <w:ind w:left="1080" w:hanging="360"/>
      </w:pPr>
      <w:rPr>
        <w:rFonts w:hint="default"/>
      </w:rPr>
    </w:lvl>
  </w:abstractNum>
  <w:abstractNum w:abstractNumId="9">
    <w:nsid w:val="693900E7"/>
    <w:multiLevelType w:val="hybridMultilevel"/>
    <w:tmpl w:val="ECB0C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2"/>
  </w:num>
  <w:num w:numId="6">
    <w:abstractNumId w:val="8"/>
  </w:num>
  <w:num w:numId="7">
    <w:abstractNumId w:val="7"/>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A840E1"/>
    <w:rsid w:val="00AC3C71"/>
    <w:rsid w:val="00B50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50F06"/>
    <w:pPr>
      <w:ind w:left="720"/>
      <w:contextualSpacing/>
    </w:pPr>
    <w:rPr>
      <w:rFonts w:ascii="Calibri" w:eastAsia="Calibri" w:hAnsi="Calibri" w:cs="Times New Roman"/>
      <w:lang w:eastAsia="en-US"/>
    </w:rPr>
  </w:style>
  <w:style w:type="character" w:customStyle="1" w:styleId="a4">
    <w:name w:val="Абзац списка Знак"/>
    <w:link w:val="a3"/>
    <w:uiPriority w:val="34"/>
    <w:rsid w:val="00B50F06"/>
    <w:rPr>
      <w:rFonts w:ascii="Calibri" w:eastAsia="Calibri" w:hAnsi="Calibri" w:cs="Times New Roman"/>
      <w:lang w:eastAsia="en-US"/>
    </w:rPr>
  </w:style>
  <w:style w:type="paragraph" w:styleId="a5">
    <w:name w:val="Normal (Web)"/>
    <w:basedOn w:val="a"/>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й"/>
    <w:basedOn w:val="a"/>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7">
    <w:name w:val="Hyperlink"/>
    <w:basedOn w:val="a0"/>
    <w:uiPriority w:val="99"/>
    <w:unhideWhenUsed/>
    <w:rsid w:val="00B50F06"/>
    <w:rPr>
      <w:color w:val="0000FF"/>
      <w:u w:val="single"/>
    </w:rPr>
  </w:style>
  <w:style w:type="paragraph" w:styleId="a8">
    <w:name w:val="footnote text"/>
    <w:basedOn w:val="a"/>
    <w:link w:val="a9"/>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9">
    <w:name w:val="Текст сноски Знак"/>
    <w:basedOn w:val="a0"/>
    <w:link w:val="a8"/>
    <w:uiPriority w:val="99"/>
    <w:rsid w:val="00B50F06"/>
    <w:rPr>
      <w:rFonts w:ascii="Courier New" w:eastAsia="Times New Roman" w:hAnsi="Courier New" w:cs="Times New Roman"/>
      <w:sz w:val="20"/>
      <w:szCs w:val="20"/>
    </w:rPr>
  </w:style>
  <w:style w:type="character" w:customStyle="1" w:styleId="ft13">
    <w:name w:val="ft13"/>
    <w:basedOn w:val="a0"/>
    <w:rsid w:val="00B50F06"/>
  </w:style>
  <w:style w:type="character" w:customStyle="1" w:styleId="apple-converted-space">
    <w:name w:val="apple-converted-space"/>
    <w:basedOn w:val="a0"/>
    <w:rsid w:val="00B50F06"/>
  </w:style>
  <w:style w:type="table" w:styleId="aa">
    <w:name w:val="Table Grid"/>
    <w:basedOn w:val="a1"/>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071E0C"/>
    <w:rPr>
      <w:rFonts w:ascii="Times New Roman" w:eastAsia="Times New Roman" w:hAnsi="Times New Roman" w:cs="Times New Roman"/>
      <w:sz w:val="24"/>
      <w:szCs w:val="24"/>
    </w:rPr>
  </w:style>
  <w:style w:type="paragraph" w:styleId="ad">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e"/>
    <w:rsid w:val="00071E0C"/>
    <w:pPr>
      <w:spacing w:after="0" w:line="240" w:lineRule="auto"/>
    </w:pPr>
    <w:rPr>
      <w:rFonts w:ascii="Courier New" w:eastAsia="Times New Roman" w:hAnsi="Courier New" w:cs="Times New Roman"/>
      <w:sz w:val="20"/>
      <w:szCs w:val="20"/>
    </w:rPr>
  </w:style>
  <w:style w:type="character" w:customStyle="1" w:styleId="ae">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0"/>
    <w:link w:val="ad"/>
    <w:rsid w:val="00071E0C"/>
    <w:rPr>
      <w:rFonts w:ascii="Courier New" w:eastAsia="Times New Roman" w:hAnsi="Courier New" w:cs="Times New Roman"/>
      <w:sz w:val="20"/>
      <w:szCs w:val="20"/>
    </w:rPr>
  </w:style>
  <w:style w:type="paragraph" w:customStyle="1" w:styleId="Default">
    <w:name w:val="Default"/>
    <w:uiPriority w:val="99"/>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2023-12-01T13:00:00Z</dcterms:created>
  <dcterms:modified xsi:type="dcterms:W3CDTF">2023-12-01T13:19:00Z</dcterms:modified>
</cp:coreProperties>
</file>