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FC" w:rsidRPr="00FD1EFC" w:rsidRDefault="00FD1EFC" w:rsidP="00FD1EFC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50179991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11-13. Основные концепции и модели профессиональной </w:t>
      </w:r>
      <w:proofErr w:type="gramStart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ориентации  различных</w:t>
      </w:r>
      <w:proofErr w:type="gramEnd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 населения (6 час).</w:t>
      </w:r>
      <w:bookmarkEnd w:id="0"/>
    </w:p>
    <w:p w:rsidR="00FD1EFC" w:rsidRPr="00FD1EFC" w:rsidRDefault="00FD1EFC" w:rsidP="00FD1EFC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50179992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Личностные факторы карьеры</w:t>
      </w:r>
      <w:bookmarkEnd w:id="1"/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факторы карьеры раскрываются в работах Ю. В.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Синягина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, Р. Л. Кричевского и др.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мнению ведущих специалистов, в число наиболее значимых личностных факторов входят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самоэффективность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интернальность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, эмоциональная стабильность, мотивация к карьере. С целью выявления выраженности вышеназванных личностных качеств у служащих были использованы валидные методики.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мнению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А.Бандуры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самоэффективность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это основанная на знании и прежних переживаниях убежденность человека в своей способности достигать определенного результата при адекватных затратах. Исследователь акцентировал внимание на том, что умелое использование даже скромных способностей позволяет человеку достигать высоких результатов. В то же время, наличие значительного потенциала автоматически не гарантирует субъекту достижения высоких профессиональных и личностных результатов. Добавим, что эта проблема в отечественной психологии решалась в концепции индивидуального стиля деятельности [9, 13, 22].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Исследования отечественных авторов показывают, что состояние феномена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самоэффективность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указывает на те вероятные способы коррекции, которые ведут к конструктивным преобразованиям в «Я - концепции» субъекта и позволяет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операционально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поддержать активность личности в достижении профессиональных высот [4].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используемый в отечественной практике тест УСК позволяет с большой вероятностью выявлять отношение человека к своей жизни: считает ли себя судьбы (внутренний,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интернальный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локус контроля) или же ощущает себя объектом воздействия других лиц и обстоятельств («пассивная жизненная позиция» - внешний,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экстернальный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локус контроля). Значения, получаемые испытуемыми по шкалам теста УСК статистически значимо коррелируют с уровнем тревожности, активности в контактах, оптимизмом, ответственностью и другими чертами личности. Поэтому этот тест - в его широкой интерпретации - используется в профессиональном отборе [4, 21], планировании карьеры, как инструмент диагностики управленческого потенциала и для решения других научно-практических задач.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По-мнению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И.Д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Ладанова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, высокие значения по тесту отражают «лидерский потенциал» и присущи лицам, «способным осуществлять свою карьеру» (см. Отчет за 1 этап).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Высокие показатели идентификации с карьерой (карьерной причастности) характерны для сотрудников, готовых работать с высокой отдачей ради достижения прежде всего целей организации и способных достаточно длительный период работать сверхурочно и безвозмездно. Такие люди надежны в сложных обстоятельствах деятельности организации. Низкий уровень присущ работникам, реализующим прежде всего личные цели. Для работников с низкой карьерной скоростью объективную сложность представляет способность не снижать качество работы в усложненных условиях (фактор времени, недостаток материально-технических ресурсов, информации и др.). Они менее склонны проявлять инициативу, недостаточно настойчивы в решении проблем, тормозящих их личностный и профессиональный рост.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определения личностных характеристик, в своей совокупности прямо или косвенно влияющих на становление карьеры субъекта, использовался тест-опросник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Р.Б.Кеттела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(1970). Особенности организации личной работы и своих взаимодействий с партнерами определялись методиками, оценивающими стиль деятельности субъекта и стиль руководства [13, 22].</w:t>
      </w: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Достаточно изучены взаимосвязи карьерного продвижения и социальных ролей, которые играет работник в организации (этот вопрос достаточно раскрыт в Отчете за 1 этап). Согласно литературным данным и данным результатов исследований, проводимых на кафедре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акмеологии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психологии профессиональной деятельности РАГС при Президенте РФ, выбор субъектами тех или иных социальных ролей во многом обусловлен их индивидуальными, и прежде всего, личностными особенностями.</w:t>
      </w:r>
    </w:p>
    <w:p w:rsidR="00FD1EFC" w:rsidRPr="00FD1EFC" w:rsidRDefault="00FD1EFC" w:rsidP="00FD1EFC">
      <w:pPr>
        <w:jc w:val="lef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особенностей личности, оптимизации выбора сферы профессиональной деятельности в начале профессиональ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пути важно учитывать тип личности человека, область деятельности. Наиболее </w:t>
      </w:r>
      <w:proofErr w:type="spellStart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операциональной</w:t>
      </w:r>
      <w:proofErr w:type="spellEnd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данной цели считается типология личностей </w:t>
      </w: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Дж. </w:t>
      </w:r>
      <w:proofErr w:type="spellStart"/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Голланда</w:t>
      </w:r>
      <w:proofErr w:type="spellEnd"/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FD1EFC" w:rsidRPr="00FD1EFC" w:rsidRDefault="00FD1EFC" w:rsidP="00FD1EFC">
      <w:pPr>
        <w:keepNext/>
        <w:shd w:val="clear" w:color="auto" w:fill="FFFFFF"/>
        <w:autoSpaceDE w:val="0"/>
        <w:autoSpaceDN w:val="0"/>
        <w:adjustRightInd w:val="0"/>
        <w:ind w:left="2835"/>
        <w:outlineLvl w:val="7"/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</w:pPr>
      <w:r w:rsidRPr="00FD1EFC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Типология личностей Дж. </w:t>
      </w:r>
      <w:proofErr w:type="spellStart"/>
      <w:r w:rsidRPr="00FD1EFC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Голланда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5032"/>
      </w:tblGrid>
      <w:tr w:rsidR="00FD1EFC" w:rsidRPr="00FD1EFC" w:rsidTr="009930F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EFC" w:rsidRPr="00FD1EFC" w:rsidRDefault="00FD1EFC" w:rsidP="00FD1EFC">
            <w:pPr>
              <w:keepNext/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3"/>
                <w:lang w:val="en-US" w:eastAsia="ru-RU"/>
              </w:rPr>
            </w:pPr>
            <w:proofErr w:type="spellStart"/>
            <w:r w:rsidRPr="00FD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3"/>
                <w:lang w:val="en-US" w:eastAsia="ru-RU"/>
              </w:rPr>
              <w:t>Тип</w:t>
            </w:r>
            <w:proofErr w:type="spellEnd"/>
            <w:r w:rsidRPr="00FD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3"/>
                <w:lang w:val="en-US" w:eastAsia="ru-RU"/>
              </w:rPr>
              <w:t xml:space="preserve"> </w:t>
            </w:r>
            <w:proofErr w:type="spellStart"/>
            <w:r w:rsidRPr="00FD1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3"/>
                <w:lang w:val="en-US" w:eastAsia="ru-RU"/>
              </w:rPr>
              <w:t>личности</w:t>
            </w:r>
            <w:proofErr w:type="spellEnd"/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EFC" w:rsidRPr="00FD1EFC" w:rsidTr="009930F1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.Реалистический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Исследовательский 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Артистичный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4. Социальный 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5. Предпринимательский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6. Конвенциональный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манипулирование инструментами и</w:t>
            </w: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механизмами 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поиск 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эмоциональные проявления, </w:t>
            </w:r>
            <w:proofErr w:type="spellStart"/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презентацию</w:t>
            </w:r>
            <w:proofErr w:type="spellEnd"/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Ориентация на взаимодействие с людьми 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Ориентация на влияние на людей </w:t>
            </w:r>
          </w:p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манипулирование данными, инфор</w:t>
            </w:r>
            <w:r w:rsidRPr="00F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мацией</w:t>
            </w:r>
          </w:p>
        </w:tc>
      </w:tr>
    </w:tbl>
    <w:p w:rsidR="00FD1EFC" w:rsidRPr="00FD1EFC" w:rsidRDefault="00FD1EFC" w:rsidP="00FD1EF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259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FC" w:rsidRPr="00FD1EFC" w:rsidRDefault="00FD1EFC" w:rsidP="00FD1EFC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1E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Рис Типология личностей Дж. </w:t>
      </w:r>
      <w:proofErr w:type="spellStart"/>
      <w:r w:rsidRPr="00FD1E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Голланда</w:t>
      </w:r>
      <w:proofErr w:type="spellEnd"/>
    </w:p>
    <w:p w:rsidR="00FD1EFC" w:rsidRPr="00FD1EFC" w:rsidRDefault="00FD1EFC" w:rsidP="00FD1E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Типы профессиональной направленности личности, определяемые по методике Дж. </w:t>
      </w:r>
      <w:proofErr w:type="spellStart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>Голланда</w:t>
      </w:r>
      <w:proofErr w:type="spellEnd"/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некоторой мере соответствуют классификации профессий по предмету труда. Так, «реалистичный» тип личности в наибольшей степени соответствует профессиям типа «человек-техника» и «человек-природа» и характеризует направленность на рабочие и инженерно-технические специальности и должности. «Интеллектуальный» тип личности в большей степени связан со сферой общественных и естественных наук, то есть, с профессиями типа «человек-человек» и «человек-природа». «Социальный» тип определяет склонность к профессиям в сфере обслуживания, образования и медицины типа «человек-человек». «Конвенциальный» тип характеризует склонность к информационным </w:t>
      </w:r>
      <w:r w:rsidRPr="00FD1EF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профессиям типа «человек-знаковая система». «Предприимчивый» тип однозначно не связан с каким-либо одним предметом труда, и может проявляться в любом из них, хотя ориентация на управленческие профессии и должности более тесно связывает представителей этого типа к профессиям «человек-человек». Наконец, «артистический» тип личности без проблем можно отнести к профессиям типа «человек-художественный образ».</w:t>
      </w:r>
    </w:p>
    <w:p w:rsidR="00FD1EFC" w:rsidRPr="00FD1EFC" w:rsidRDefault="00FD1EFC" w:rsidP="00FD1E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EFC" w:rsidRPr="00FD1EFC" w:rsidRDefault="00FD1EFC" w:rsidP="00FD1EFC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50179993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Выбор карьеры</w:t>
      </w:r>
      <w:bookmarkEnd w:id="2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FD1EFC" w:rsidRPr="00FD1EFC" w:rsidRDefault="00FD1EFC" w:rsidP="00FD1EFC">
      <w:pPr>
        <w:widowControl w:val="0"/>
        <w:ind w:left="142" w:right="-143" w:firstLine="42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по концепции </w:t>
      </w:r>
      <w:proofErr w:type="spellStart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типов всегда доминирует, человек может приспосабливаться к условиям, используя стратегии двух и более типов.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ближе ориентации (секторы в круге) доминирующей и второй (третьей) ориентации, тем ближе типы личности. </w:t>
      </w:r>
      <w:proofErr w:type="gramStart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 содержание</w:t>
      </w:r>
      <w:proofErr w:type="gramEnd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доминирующих и  </w:t>
      </w:r>
      <w:proofErr w:type="spellStart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недоминирующих</w:t>
      </w:r>
      <w:proofErr w:type="spellEnd"/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ориентаций, можно выбирать те виды деятельности, которые ближе человеку и в которых он будет более успешен. Если доминирую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и следующие ориентации далеки друг от друга, карьеру выбирать сложнее.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типологией, которая может быть использована в целях выбора карьеры, является типология </w:t>
      </w: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Е.А. Климова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деятельности разделены по предметам труда: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Тип П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«человек — природа»: ведущий предмет труда — растения, животные, микроорганизмы.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Тип Т —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— техника»: ведущий предмет труда — Технические системы, вещественные объекты, материалы, виды энергии.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Тип Ч —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— человек»: ведущий предмет труда — люди, группы, коллективы, общности людей.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Тип З —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— знак»: ведущий предмет труда — условные знаки, цифры, коды, естественные или искусственные языки.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Тип </w:t>
      </w: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D1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— </w:t>
      </w: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«человек — художественный образ»: ведущий предмет труда — художественные образы, условия их построения.</w:t>
      </w: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1EFC" w:rsidRPr="00FD1EFC" w:rsidRDefault="00FD1EFC" w:rsidP="00FD1EFC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Менеджер по персоналу, как правило, сталкивается с уже определившимся профессионалом, однако важно знать, как человек сделал свой выбор. Можно выделить следующие основные ситуации выбора профессии: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55"/>
      </w:tblGrid>
      <w:tr w:rsidR="00FD1EFC" w:rsidRPr="00FD1EFC" w:rsidTr="009930F1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1.Традиция</w:t>
            </w:r>
          </w:p>
        </w:tc>
        <w:tc>
          <w:tcPr>
            <w:tcW w:w="7555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о выборе не возникал в силу традиции, обычаев</w:t>
            </w:r>
          </w:p>
        </w:tc>
      </w:tr>
      <w:tr w:rsidR="00FD1EFC" w:rsidRPr="00FD1EFC" w:rsidTr="009930F1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2.Случай</w:t>
            </w:r>
          </w:p>
        </w:tc>
        <w:tc>
          <w:tcPr>
            <w:tcW w:w="7555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произошел случайно в силу некоего события</w:t>
            </w:r>
          </w:p>
        </w:tc>
      </w:tr>
      <w:tr w:rsidR="00FD1EFC" w:rsidRPr="00FD1EFC" w:rsidTr="009930F1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D1EFC" w:rsidRPr="00FD1EFC" w:rsidRDefault="00FD1EFC" w:rsidP="00FD1E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3. Долг</w:t>
            </w:r>
          </w:p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5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 связан с представлением о долге, о своей миссии, призвании или обязательствах перед людьми</w:t>
            </w:r>
          </w:p>
        </w:tc>
      </w:tr>
      <w:tr w:rsidR="00FD1EFC" w:rsidRPr="00FD1EFC" w:rsidTr="009930F1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Целевой выбор</w:t>
            </w:r>
          </w:p>
        </w:tc>
        <w:tc>
          <w:tcPr>
            <w:tcW w:w="7555" w:type="dxa"/>
          </w:tcPr>
          <w:p w:rsidR="00FD1EFC" w:rsidRPr="00FD1EFC" w:rsidRDefault="00FD1EFC" w:rsidP="00FD1E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связан с сознательным определением целей профессио</w:t>
            </w:r>
            <w:r w:rsidRPr="00FD1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нальной деятельности, исходя из анализа реальных проблем и путей их решения (до момента выбора знает о будущей профессиональной деятельности)</w:t>
            </w:r>
          </w:p>
        </w:tc>
      </w:tr>
    </w:tbl>
    <w:p w:rsidR="00FD1EFC" w:rsidRPr="00FD1EFC" w:rsidRDefault="00FD1EFC" w:rsidP="00FD1EFC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D1EFC" w:rsidRPr="00FD1EFC" w:rsidRDefault="00FD1EFC" w:rsidP="00FD1EFC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50179994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Ценностно-смысловой аспект построения карьеры</w:t>
      </w:r>
      <w:bookmarkEnd w:id="3"/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выступая субъектом своей жизнедеятельности и своего жизненного пути, выражает и реализует себя в течение всей своей жизни, а основными сферами его самовыражения и самореализации выступают сферы профессиональной и личной жизни – карьерная и личностная линии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жизнестроительства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отмечает О.О. Богатырева, сопряжение этих линий личностного и 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развития не всегда является гармоничным. Гармонично оно тогда, когда карьера наполнена личностным смыслом, ценностным содержанием, конгруэнтным общей направленности личности, тогда и границы между ними становятся условны.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способствует, а что препятствует их сочетанию? Каково ценностно-смысловое содержание карьерной направленности? Как связана карьерная направленность с общей направленностью личности? Ответы на эти вопросы представляются нам актуальными в теоретическом и практическом отношении.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вызывает сомнения утверждение, </w:t>
      </w:r>
      <w:proofErr w:type="gram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выбирая профессию и ценностный вектор построения карьеры, человек во многом определяет свой жизненный путь и стиль жизни, поскольку данный выбор определяет и место жительства, и уровень материального благосостояния, и степень свободы для творчества. От успешности карьеры зависит уровень удовлетворённости жизнью в целом.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уже было отмечено, в настоящее время выделяют два уровня профессионализма –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специфический и неспецифический. Под вторым понимают ценности, жизненные приобретения и «функциональные резервы» личности</w:t>
      </w:r>
      <w:r w:rsidRPr="00FD1EFC">
        <w:rPr>
          <w:rFonts w:ascii="Times New Roman" w:eastAsia="Times New Roman" w:hAnsi="Times New Roman" w:cs="Times New Roman"/>
          <w:snapToGrid w:val="0"/>
          <w:color w:val="95B3D7"/>
          <w:sz w:val="24"/>
          <w:szCs w:val="24"/>
          <w:lang w:eastAsia="ru-RU"/>
        </w:rPr>
        <w:t xml:space="preserve">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(Д.Н. Завалишина), способность к самоанализу, самопознанию и выстраиванию оптимальной траектории жизненного пути и профессионального и карьерного развития (А.С. Соколова), мета-умения как инварианты профессионализма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способность к обучению и самообучению, к самоанализу и рефлексии; высокая адаптивность и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самоэффективность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(Р.Л. Кричевский, Ю.В.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Синягин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Таким образом, построение карьеры – это 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просто осуществление профессиональной деятельности. Карьера – это профессиональная самореализация,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самоактуализация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профессиональной деятельности.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работах А.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Маслоу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профессиональная самореализация раскрывается через «увлеченность значимой работой», К.К. Платонова – через призвание, в котором «сочетаются интерес к определённой деятельности,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стремление её осуществлять и правильная самооценка способностей к ней». 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понимании феномена карьеры должностное восхождение субъекта выступает не самоцелью, а одним из способов, вариантов и средств самореализации, к числу которых можно также отнести профессиональное самосовершенствование, вовлеченное в процесс исполнения усложняющихся профессионально-трудовых задач, их насыщении элементами творчества.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ситуация современного общества не только существенным образом изменила многие социальные представления и ценностные ориентиры, но и принесла с собой неоднозначное, а порой и амбивалентное отношение ко многим ценностям и нормам. В их числе – ценности и смыслы карьеры. Поэтому данной проблематике в настоящее время посвящено немало исследований.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адекватной для исследования карьерной направленности выступает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постнеклассическая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методология (термин B.C. Степина). Методология постмодернизма (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П.Фейерабенд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Поппер, С.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Тулмин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Полани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Джерджен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предполагает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полипарадигмальный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исследований, активность и вариативность в конструировании образа мира, гибкость и пластичность в его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реконструировании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свободу человека при выборе траекторий профессионального и личностного развития. 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считает М.С.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Гусельцева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дальнейшего развития получает пси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хология, построенная на основе постмодернистской,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постнеклассической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и отвечающая на следующие «вызовы» современности: культуру постмодернизма, философию постмодернизма и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постпозитивизма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постнеклассическую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парадигму в физике, информационная культуру (Д. Белл, А.И. Ракитов) и сетевой прин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 организации знания (Дж. Чу), прак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тическим выражением которых стала глобальная компьютерная сеть – Ин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тернет, обращенность к психотехническому и духовному опыту восточных культур. О перспективности исследований в русле гуманитарной, неклассической психологии заявляет и Д.А. Леонтьев, ориентируя на область не «необходимого» и детерминированного, а на область </w:t>
      </w:r>
      <w:proofErr w:type="spell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самодетерминируемого</w:t>
      </w:r>
      <w:proofErr w:type="spell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«возможного».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napToGrid w:val="0"/>
          <w:color w:val="548DD4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данной парадигме, нет и не может быть единого понимания карьеры, единых критериев успешности. Человек сам определяет для себя, что для него карьера, он 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 выбирает и строит свою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систему координат карьерной направленности, </w:t>
      </w:r>
      <w:r w:rsidRPr="00FD1EF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своей собственной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КН, выступая, по словам Б. Трейси, «архитектором собственной карьеры»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</w:t>
      </w:r>
      <w:r w:rsidRPr="00FD1EFC">
        <w:rPr>
          <w:rFonts w:ascii="Times New Roman" w:eastAsia="Times New Roman" w:hAnsi="Times New Roman" w:cs="Times New Roman"/>
          <w:snapToGrid w:val="0"/>
          <w:color w:val="548DD4"/>
          <w:sz w:val="24"/>
          <w:szCs w:val="24"/>
          <w:lang w:eastAsia="ru-RU"/>
        </w:rPr>
        <w:t xml:space="preserve">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современной науке понятие карьеры, карьерной направленности наполняется новым (точнее по-новому высвеченным, играющим новыми красками) ценностно-смысловым содержанием, относительно новым является и подход к построению карьеры в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разновекторных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направлениях – «карьера вверх» и «карьера вглубь». </w:t>
      </w:r>
    </w:p>
    <w:p w:rsidR="00FD1EFC" w:rsidRPr="00FD1EFC" w:rsidRDefault="00FD1EFC" w:rsidP="00FD1EFC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50179995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Карьерная направленность как структурно-уровневое образование: </w:t>
      </w:r>
      <w:proofErr w:type="spellStart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метасистемный</w:t>
      </w:r>
      <w:proofErr w:type="spellEnd"/>
      <w:r w:rsidRPr="00FD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</w:t>
      </w:r>
      <w:bookmarkEnd w:id="4"/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Центральной категорией нашей диссертации является «карьерная направленность». 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В общепсихологических теориях личности направленность понимается как ведущая характеристика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личности, однако в разных концепциях раскрывается по-разному: как «динамическая тенденция» (С.Л. Рубинштейн), «смыслообразующий мотив» (А.Н. Леонтьев), «доминирующее отношение» (В.Н. Мясищев [146]), «отношение к другим людям, к обществу, к самому себе» (В.С. Мерлин), «динамическая организация сущностных сил человека» (А.С.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Прангишвили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), «социально обусловленная подструктура личности» (К.К. Платонов), «основная жизненная направленность» (Б.Г. Ананьев), «системообразующее свойство личности, определяющее её психологический склад» (Б.Ф. Ломов). Последние три из указанных подходов представляются наиболее близким нашему исследованию.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Направленность, согласно концепции динамической функциональной структуры личности К.К. Платонова, является «вершинной» подструктурой личности, включающая в себя убеждения, мировоззрение, идеалы, стремления, интересы, желания и, согласно взглядам Б.Г. Ананьева, выступает «ядром личности». Б.Ф. Ломов отмечает, что именно в этом свойстве выражаются «цели, во имя которых действует личность, её мотивы, её субъективные отношения к различным сторонам действительности: вся система её характеристик».</w:t>
      </w:r>
    </w:p>
    <w:p w:rsidR="00FD1EFC" w:rsidRPr="00FD1EFC" w:rsidRDefault="00FD1EFC" w:rsidP="00FD1EFC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Под направленностью мы понимаем одно из основных свойств личности, определяющее как ведущую репрезентативную систему восприятия, так и доминирующие чувства, мотивы (намерения, интересы, склонности, идеалы), ценностные и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смысложизненные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ориентации человека, а также личностную и профессиональную позицию – отношение к себе, к своей деятельности (профессии) и к себе как субъекту деятельности (к себе в профессии) и жизненного (в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т.ч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профессионального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карьерного) пути. </w:t>
      </w:r>
    </w:p>
    <w:p w:rsidR="00FD1EFC" w:rsidRPr="00FD1EFC" w:rsidRDefault="00FD1EFC" w:rsidP="00FD1EFC">
      <w:pPr>
        <w:widowControl w:val="0"/>
        <w:numPr>
          <w:ilvl w:val="0"/>
          <w:numId w:val="1"/>
        </w:numPr>
        <w:ind w:right="-1" w:firstLine="567"/>
        <w:jc w:val="left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Под карьерной направленностью (КН) мы понимаем одно из основных свойств личности, определяющее как ведущую репрезентативную систему восприятия, так и доминирующие чувства, мотивы (намерения, интересы, склонности, идеалы), ценностные и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смысложизненные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ориентации человека относительно путей своего карьерного развития, а также личностную и профессиональную позицию (отношение к себе, к своей деятельности (профессии) и к себе как субъекту деятельности (к себе в профессии)) и своего жизненного, в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т.ч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 профессионального и карьерного пути. Карьерная направленность обладает мотивационно-направляющим потенциалом и выступает как системное структурно-уровневое образование, включающее общую карьерную направленность (общую заинтересованность в карьерном развитии), векторное направление построения карьеры (карьерные векторы «вверх» и «вглубь») и карьерные ориентации («управление, «предпринимательство», «служение», «мастерство»).</w:t>
      </w:r>
      <w:r w:rsidRPr="00FD1EFC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Одним из первых понятие «карьерные ориентации» употребил Д. 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Сьюпер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понимая под ними систему </w:t>
      </w:r>
      <w:r w:rsidRPr="00FD1EF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смыслов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которые личность стремится реализовать при выборе и построении своей карьеры, и совокупность установок, связанных с профессиональным опытом и профессиональной активностью. Карьерные ориентации, по мнению Д.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Сьюпера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представляют собой сплав способностей, побуждений, мотивов и ценностей, которыми человек не может поступиться при выборе и построении карьеры.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Разработка проблемы карьерных ориентаций получила свое развитие, в частности, в представлениях Э.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Шэйна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создавшего методику «Якоря карьеры»</w:t>
      </w:r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gramStart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</w:t>
      </w:r>
      <w:proofErr w:type="gramEnd"/>
      <w:r w:rsidRPr="00FD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Шейна, планирование и построение карьеры – это процесс медленного развития профессиональной «Я- концепции» и самоопределения с учетом собственных способностей, мотивов, потребностей, отношений и ценностей. Центральным конструктом его теории выступает понятие «якорь карьеры» (карьерный ключевой момент).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Якорь карьеры рассматривается как важный компонент Я-концепции, представляющий значимые для личности интересы или ценности, от которых она не откажется в ситуации выбора. Якоря карьеры формируются в процессе социализации в результате накопления профессионального опыта в начальные годы развития карьеры и выполняют функции управления, стабилизации и интеграции индивидуальной карьеры в течение всей жизни. Э.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Шэйн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выделяет пять групп якорей карьеры: функциональность, управленческая компетентность, созидательность и инициативность, автономия и независимость, безопасность. А его методика диагностирует выраженность следующих ориентаций: профессиональная компетентность, менеджмент, автономия, </w:t>
      </w:r>
      <w:r w:rsidRPr="00FD1EFC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ru-RU"/>
        </w:rPr>
        <w:t>стабильность, служение, вызов, интеграция стилей жизни, предпринимательство.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Концепция Э. Шейна опирается на расширенное понимание карьеры, характерное для западной психологии, отражающее место труда в жизни человека в целом и включающее разные формы отношения к труду. Отсюда в списке карьерных ориентаций появляются направления, акцентированные на определённых условиях труда и соотношении труда с другими аспектами жизни (например, интеграция стилей жизни), или же направления, отражающие неспецифические мотивы, которые можно реализовать в разных формах трудовой деятельности (например, автономия).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России методика Э. Шейна была переведена и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адаптировована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В.А.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Чикер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В.Э.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Винокуровой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Однако в опубликованном материале отсутствуют какие-либо данные о психометрической проверке методики.  В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реадаптации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А.А.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Козяк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(Жданович) опросник под названием «Карьерные ориентации» (ОКО) прошёл новую психометрическую проверку и был стандартизирован на выборке студентов. Опросник, предложенный А.А.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Козяк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(Жданович), вошел в реестр исследовательских и психодиагностических методик, прошедших профессиональное рецензирование в </w:t>
      </w:r>
      <w:smartTag w:uri="urn:schemas-microsoft-com:office:smarttags" w:element="metricconverter">
        <w:smartTagPr>
          <w:attr w:name="ProductID" w:val="2010 г"/>
        </w:smartTagPr>
        <w:r w:rsidRPr="00FD1EFC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2010 </w:t>
        </w:r>
        <w:proofErr w:type="gramStart"/>
        <w:r w:rsidRPr="00FD1EFC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г</w:t>
        </w:r>
      </w:smartTag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</w:t>
      </w:r>
      <w:proofErr w:type="gram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 умаляя значимости данной методики, стоит отметить, что она сохранила расширенную концептуальную основу, предложенную Э. Шейном и характерную для зарубежной психологии.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исследованиях Н.Н. Мельниковой не удалось подтвердить 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восьмифакторную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структуру, предложенную Э. Шейном: </w:t>
      </w:r>
      <w:proofErr w:type="gram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разных выборках</w:t>
      </w:r>
      <w:proofErr w:type="gram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устойчиво выделяются два фактора, которые можно описать через </w:t>
      </w:r>
      <w:r w:rsidRPr="00FD1EF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два вектора направленности карьеры «вверх» и «вглубь»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 появляется ряд факторов меньшей значимости, варьирующих от выборки к выборке, которые можно определить через параметры, отражающие условия труда. Подобные результаты получены и в факторных исследованиях А.А. Жданович.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Исследования представлений о карьере на Российской выборке показали более узкое и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конкретизированное понимание карьеры, как поступательного профессионального развития, сопровождающегося адекватным ростом социального статуса и материального вознаграждения. В данном представлении ясно выделяются две линии (два взаимодействующих вектора) развития карьеры – условно называемые «карьера вверх» и «карьера вглубь». Оптимальное развитие карьеры предполагает баланс, гармоничное единство этих двух линий. Значительные «перекосы» в том или другом направлении ведут к деформациям карьерного развития. Например, порождают феномен «карьеризма» при неадекватном доминировании «карьеры вверх»; или же феномены социальной незащищённости, снижения удовлетворённости трудом и др. при полном игнорировании личностью вертикального направления.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Однако это не исключает наличия у конкретной личности некоторых приоритетов в выборе направления карьерного развития, которые обусловлены как индивидуальной предрасположенностью, так и личной историей социального развития. Эти приоритеты и проявляются в карьерных ориентациях, которые определяют постановку карьерных целей, карьерных планов и выполняют направляющие и организующие деятельность функции при построении индивидуальной карьеры. Карьерные ориентации достаточно устойчивы и могут оставаться стабильными длительное время, хотя нередки и случаи смены карьерных ориентаций в течение жизни человека.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Представление о карьере, как феномене, в котором сочетаются два вектора развития – «вверх» и «вглубь» – легло в основу разработанного Н.Н. Мельниковой опросника «Карьерные ориентации» (</w:t>
      </w:r>
      <w:proofErr w:type="spellStart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КарО</w:t>
      </w:r>
      <w:proofErr w:type="spellEnd"/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), вошедшего в арсенал психодиагностических методик нашего исследования. В диссертации мы придерживаемся представления о трёхуровневой системе карьерной направленности (см. рис. 1). Под карьерной направленностью (КН) понимается: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Общая карьерная направленность, определяющая, насколько человек в принципе заинтересован в построении карьеры.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Векторное направление «карьера вверх» (соответствует вертикальной карьере, должностному продвижению) и «карьера вглубь» (соответствует горизонтальной карьере, профессиональному продвижению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). «Карьера вверх» предполагает продвижение по служебной лестнице, с занятием руководящих постов, приобретение статуса и места в социальной иерархии, обретение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финансовой самостоятельности. «Карьера вглубь» направлена, прежде всего, на совершенствование и оттачивание профессионального мастерства и ориентирована на создание высококачественного продукта в какой-либо сфере.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Карьерная ориентация – система личностных диспозиций по отношению к карьере, выражающаяся через ценностные ориентации, установки и интересы, побуждающие к развитию деятельности в определённом направлении.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Общая</w:t>
      </w:r>
      <w:r w:rsidRPr="00FD1EF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направленность на построение карьеры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5715</wp:posOffset>
                </wp:positionV>
                <wp:extent cx="680720" cy="480695"/>
                <wp:effectExtent l="44450" t="12700" r="8255" b="495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0720" cy="480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37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17.85pt;margin-top:.45pt;width:53.6pt;height:37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">
                <v:stroke endarrow="block"/>
              </v:shape>
            </w:pict>
          </mc:Fallback>
        </mc:AlternateContent>
      </w:r>
      <w:r w:rsidRPr="00FD1E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37465</wp:posOffset>
                </wp:positionV>
                <wp:extent cx="749300" cy="448945"/>
                <wp:effectExtent l="9525" t="6350" r="41275" b="590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448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4EA8F" id="Прямая со стрелкой 6" o:spid="_x0000_s1026" type="#_x0000_t32" style="position:absolute;margin-left:292.85pt;margin-top:2.95pt;width:59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pwZQIAAHo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Карьера вверх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Карьера вглубь</w:t>
      </w: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63500</wp:posOffset>
                </wp:positionV>
                <wp:extent cx="528320" cy="355600"/>
                <wp:effectExtent l="6350" t="9525" r="46355" b="539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48AC" id="Прямая со стрелкой 5" o:spid="_x0000_s1026" type="#_x0000_t32" style="position:absolute;margin-left:117.85pt;margin-top:5pt;width:41.6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FD1EF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63500</wp:posOffset>
                </wp:positionV>
                <wp:extent cx="533400" cy="355600"/>
                <wp:effectExtent l="44450" t="9525" r="12700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F44D" id="Прямая со стрелкой 4" o:spid="_x0000_s1026" type="#_x0000_t32" style="position:absolute;margin-left:42.1pt;margin-top:5pt;width:42pt;height:2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">
                <v:stroke endarrow="block"/>
              </v:shape>
            </w:pict>
          </mc:Fallback>
        </mc:AlternateContent>
      </w:r>
      <w:r w:rsidRPr="00FD1EF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63500</wp:posOffset>
                </wp:positionV>
                <wp:extent cx="533400" cy="355600"/>
                <wp:effectExtent l="44450" t="9525" r="12700" b="539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C054" id="Прямая со стрелкой 3" o:spid="_x0000_s1026" type="#_x0000_t32" style="position:absolute;margin-left:315.85pt;margin-top:5pt;width:42pt;height:2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">
                <v:stroke endarrow="block"/>
              </v:shape>
            </w:pict>
          </mc:Fallback>
        </mc:AlternateContent>
      </w:r>
      <w:r w:rsidRPr="00FD1EFC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63500</wp:posOffset>
                </wp:positionV>
                <wp:extent cx="528320" cy="355600"/>
                <wp:effectExtent l="6350" t="9525" r="46355" b="539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ABC3" id="Прямая со стрелкой 2" o:spid="_x0000_s1026" type="#_x0000_t32" style="position:absolute;margin-left:386.35pt;margin-top:5pt;width:41.6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Предпринимательство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Служение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Мастерство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Рисунок. Трёхуровневая модель карьерной направленности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Как показано на рис, общая ориентация на построение и развитие карьеры распадается на два вектора – «вверх» и «вглубь», а каждое из этих векторных направлений карьеры, в свою очередь, – ещё на два качественно различных компонента: «карьера вверх» подразделяется на карьерные ориентации «Управление» и «Предпринимательство», «карьера вглубь» – на карьерные ориентации «Служение» и «Профессиональное мастерство». Как показал факторный анализ, все четыре ориентации представляют собой отдельные относительно независимые факторы. При этом, направления «вверх» и «вглубь» выявляются как факторы второго порядка. </w:t>
      </w:r>
    </w:p>
    <w:p w:rsidR="00FD1EFC" w:rsidRPr="00FD1EFC" w:rsidRDefault="00FD1EFC" w:rsidP="00FD1EFC">
      <w:pPr>
        <w:ind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современной отечественной науке наблюдается несоответствие актуальности количеству исследований карьерных ориентаций, ценностно-смыслового аспекта </w:t>
      </w:r>
      <w:r w:rsidRPr="00FD1E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построения карьеры. Исследования, посвященные изучению карьерных ориентаций, малочисленны и ведутся в основном в области экономики</w:t>
      </w:r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(И.А.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Поленц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др.), социологии (В.Е.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Сезенин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Н.В.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Овсейчик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др.), педагогики (Б.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Идзиковски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О. Л. Поминова, Е.В.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Кисилева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др.). В психологии данная проблематика представлена единичными разработками (Т.Г. </w:t>
      </w:r>
      <w:proofErr w:type="gram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Гнедина ,</w:t>
      </w:r>
      <w:proofErr w:type="gram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О.П. Терновская , А.А. Жданович, Е.Н. Полянская, А.К.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Канаматова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А.В. </w:t>
      </w:r>
      <w:proofErr w:type="spellStart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Колодина</w:t>
      </w:r>
      <w:proofErr w:type="spellEnd"/>
      <w:r w:rsidRPr="00FD1E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).</w:t>
      </w:r>
      <w:r w:rsidRPr="00FD1E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FD1EFC" w:rsidRPr="00FD1EFC" w:rsidRDefault="00FD1EFC" w:rsidP="00FD1EFC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75F" w:rsidRDefault="00ED175F">
      <w:bookmarkStart w:id="5" w:name="_GoBack"/>
      <w:bookmarkEnd w:id="5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6B" w:rsidRDefault="0073386B" w:rsidP="00FD1EFC">
      <w:r>
        <w:separator/>
      </w:r>
    </w:p>
  </w:endnote>
  <w:endnote w:type="continuationSeparator" w:id="0">
    <w:p w:rsidR="0073386B" w:rsidRDefault="0073386B" w:rsidP="00FD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6B" w:rsidRDefault="0073386B" w:rsidP="00FD1EFC">
      <w:r>
        <w:separator/>
      </w:r>
    </w:p>
  </w:footnote>
  <w:footnote w:type="continuationSeparator" w:id="0">
    <w:p w:rsidR="0073386B" w:rsidRDefault="0073386B" w:rsidP="00FD1EFC">
      <w:r>
        <w:continuationSeparator/>
      </w:r>
    </w:p>
  </w:footnote>
  <w:footnote w:id="1">
    <w:p w:rsidR="00FD1EFC" w:rsidRDefault="00FD1EFC" w:rsidP="00FD1EFC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color w:val="000000"/>
        </w:rPr>
        <w:t xml:space="preserve">Климов Е.А. </w:t>
      </w:r>
      <w:r>
        <w:rPr>
          <w:color w:val="000000"/>
        </w:rPr>
        <w:t>Психология профессионала. — М., 1996</w:t>
      </w:r>
      <w:r>
        <w:rPr>
          <w:color w:val="000000"/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4D74"/>
    <w:multiLevelType w:val="hybridMultilevel"/>
    <w:tmpl w:val="2CEA9D2E"/>
    <w:lvl w:ilvl="0" w:tplc="FA925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FC"/>
    <w:rsid w:val="0073386B"/>
    <w:rsid w:val="00ED175F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D5E53-13BE-4437-B557-AEFFE895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D1EF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D1E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D1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2023-11-29T19:24:00Z</dcterms:created>
  <dcterms:modified xsi:type="dcterms:W3CDTF">2023-11-29T19:25:00Z</dcterms:modified>
</cp:coreProperties>
</file>