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26" w:rsidRPr="00D63C9E" w:rsidRDefault="00826626" w:rsidP="00826626">
      <w:pPr>
        <w:spacing w:before="360" w:after="240" w:line="245" w:lineRule="auto"/>
        <w:jc w:val="center"/>
        <w:rPr>
          <w:rFonts w:ascii="Tahoma" w:hAnsi="Tahoma" w:cs="Tahoma"/>
          <w:b/>
          <w:sz w:val="25"/>
          <w:szCs w:val="25"/>
        </w:rPr>
      </w:pPr>
      <w:r>
        <w:rPr>
          <w:rFonts w:ascii="Tahoma" w:hAnsi="Tahoma" w:cs="Tahoma"/>
          <w:b/>
          <w:sz w:val="25"/>
          <w:szCs w:val="25"/>
        </w:rPr>
        <w:t>6</w:t>
      </w:r>
      <w:r w:rsidRPr="00D63C9E">
        <w:rPr>
          <w:rFonts w:ascii="Tahoma" w:hAnsi="Tahoma" w:cs="Tahoma"/>
          <w:b/>
          <w:sz w:val="25"/>
          <w:szCs w:val="25"/>
        </w:rPr>
        <w:t xml:space="preserve">. </w:t>
      </w:r>
      <w:r w:rsidRPr="00826626">
        <w:rPr>
          <w:rFonts w:ascii="Tahoma" w:hAnsi="Tahoma" w:cs="Tahoma"/>
          <w:b/>
          <w:sz w:val="25"/>
          <w:szCs w:val="25"/>
        </w:rPr>
        <w:t>УПРАВЛЕНИЕ РИСКАМИ ПРОЕКТА</w:t>
      </w:r>
    </w:p>
    <w:p w:rsidR="00826626" w:rsidRPr="00826626" w:rsidRDefault="00826626" w:rsidP="00826626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Целями управления рисками проекта являются повышение вероятности возникновения и/или усиление воздействия позитивных рисков и снижение вероятности возникновения и/или ослабление воздействия негативных рисков с целью максимального повышения вероятности успешного завершения проекта.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826626">
        <w:rPr>
          <w:rFonts w:eastAsia="MS Mincho"/>
          <w:sz w:val="28"/>
          <w:szCs w:val="28"/>
          <w:lang w:eastAsia="ja-JP"/>
        </w:rPr>
        <w:t>Управление рисками проекта включает в себя следующие процессы: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Планирование управления рисками — это процесс, определяющий, каким образом следует осуществлять мероприятия по управлению рисками проекта.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Идентификация рисков — это процесс выявления индивидуальных рисков проекта, а также источников совокупного риска проекта и документирование их характеристик.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Качественный анализ рисков — это процесс расстановки приоритетов в отношении индивидуальных рисков проекта для дальнейшего анализа, выполняемый путем оценки вероятности возникновения и воздействия рисков, а также других характеристик.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Количественный анализ рисков — это процесс численного анализа совокупного воздействия идентифицированных индивидуальных рисков проекта и других источников неопределенности на цели проекта в целом.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Планирование реагирования на риски — это процесс разработки вариантов, выбора стратегий и согласования действий относительно подверженности совокупному риску проекта, а также относительно индивидуальных рисков проекта.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Осуществление реагирования на риски — это процесс выполнения согласованных планов реагирования на риски.</w:t>
      </w:r>
    </w:p>
    <w:p w:rsidR="00826626" w:rsidRPr="00826626" w:rsidRDefault="00826626" w:rsidP="0082662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826626">
        <w:rPr>
          <w:rFonts w:eastAsia="MS Mincho"/>
          <w:sz w:val="28"/>
          <w:szCs w:val="28"/>
          <w:lang w:eastAsia="ja-JP"/>
        </w:rPr>
        <w:t>Мониторинг рисков — это процесс мониторинга выполнения согласованных планов реагирования на риски, отслеживания идентифицированных рисков, выявления и анализа новых рисков и оценки результативности процесса управления рисками на протяжении всего проекта.</w:t>
      </w:r>
    </w:p>
    <w:p w:rsidR="00826626" w:rsidRDefault="00826626" w:rsidP="00826626">
      <w:pPr>
        <w:spacing w:before="120" w:line="245" w:lineRule="auto"/>
        <w:jc w:val="both"/>
        <w:rPr>
          <w:bCs/>
          <w:sz w:val="28"/>
          <w:szCs w:val="28"/>
        </w:rPr>
      </w:pPr>
      <w:r w:rsidRPr="00E36139">
        <w:rPr>
          <w:rFonts w:ascii="Arial Narrow" w:hAnsi="Arial Narrow"/>
          <w:b/>
          <w:sz w:val="28"/>
          <w:szCs w:val="28"/>
        </w:rPr>
        <w:t xml:space="preserve">Задание </w:t>
      </w:r>
      <w:r>
        <w:rPr>
          <w:rFonts w:ascii="Arial Narrow" w:hAnsi="Arial Narrow"/>
          <w:b/>
          <w:sz w:val="28"/>
          <w:szCs w:val="28"/>
        </w:rPr>
        <w:t>6</w:t>
      </w:r>
      <w:r w:rsidRPr="00E36139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1. </w:t>
      </w:r>
      <w:r w:rsidRPr="00826626">
        <w:rPr>
          <w:bCs/>
          <w:sz w:val="28"/>
          <w:szCs w:val="28"/>
        </w:rPr>
        <w:t>На основе</w:t>
      </w:r>
      <w:r>
        <w:rPr>
          <w:bCs/>
          <w:sz w:val="28"/>
          <w:szCs w:val="28"/>
        </w:rPr>
        <w:t xml:space="preserve"> выполнения предыдущих заданий необходимо определить</w:t>
      </w:r>
      <w:r w:rsidR="00925531">
        <w:rPr>
          <w:bCs/>
          <w:sz w:val="28"/>
          <w:szCs w:val="28"/>
        </w:rPr>
        <w:t xml:space="preserve"> индивидуальные</w:t>
      </w:r>
      <w:r>
        <w:rPr>
          <w:bCs/>
          <w:sz w:val="28"/>
          <w:szCs w:val="28"/>
        </w:rPr>
        <w:t xml:space="preserve"> ри</w:t>
      </w:r>
      <w:r w:rsidRPr="00826626">
        <w:rPr>
          <w:bCs/>
          <w:sz w:val="28"/>
          <w:szCs w:val="28"/>
        </w:rPr>
        <w:t>ск</w:t>
      </w:r>
      <w:r>
        <w:rPr>
          <w:bCs/>
          <w:sz w:val="28"/>
          <w:szCs w:val="28"/>
        </w:rPr>
        <w:t>и проекта, провести к</w:t>
      </w:r>
      <w:r w:rsidRPr="00826626">
        <w:rPr>
          <w:bCs/>
          <w:sz w:val="28"/>
          <w:szCs w:val="28"/>
        </w:rPr>
        <w:t>ачественный анализ воздействия рисков на проект</w:t>
      </w:r>
      <w:r w:rsidR="00114548">
        <w:rPr>
          <w:bCs/>
          <w:sz w:val="28"/>
          <w:szCs w:val="28"/>
        </w:rPr>
        <w:t xml:space="preserve"> и заполнить реестр рисков</w:t>
      </w:r>
      <w:r w:rsidR="0051040C">
        <w:rPr>
          <w:bCs/>
          <w:sz w:val="28"/>
          <w:szCs w:val="28"/>
        </w:rPr>
        <w:t xml:space="preserve"> (табл. 6.1).</w:t>
      </w:r>
      <w:r>
        <w:rPr>
          <w:bCs/>
          <w:sz w:val="28"/>
          <w:szCs w:val="28"/>
        </w:rPr>
        <w:t xml:space="preserve"> </w:t>
      </w:r>
      <w:r w:rsidR="0051040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редставить результаты на обсуждение.</w:t>
      </w:r>
    </w:p>
    <w:p w:rsidR="00C66437" w:rsidRDefault="00C66437" w:rsidP="0092553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826626" w:rsidRDefault="00826626" w:rsidP="0092553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25531">
        <w:rPr>
          <w:rFonts w:eastAsia="MS Mincho"/>
          <w:sz w:val="28"/>
          <w:szCs w:val="28"/>
          <w:lang w:eastAsia="ja-JP"/>
        </w:rPr>
        <w:t>Индивидуальный риск проекта — это неопределенное событие или условие, наступление которого позитивно или негативно сказывается на одной или нескольких целях проекта.</w:t>
      </w:r>
    </w:p>
    <w:p w:rsidR="00114548" w:rsidRDefault="00114548" w:rsidP="0092553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  <w:r w:rsidRPr="00114548">
        <w:rPr>
          <w:rFonts w:eastAsia="MS Mincho"/>
          <w:sz w:val="28"/>
          <w:szCs w:val="28"/>
          <w:lang w:eastAsia="ja-JP"/>
        </w:rPr>
        <w:t>В реестр р</w:t>
      </w:r>
      <w:bookmarkStart w:id="0" w:name="_GoBack"/>
      <w:bookmarkEnd w:id="0"/>
      <w:r w:rsidRPr="00114548">
        <w:rPr>
          <w:rFonts w:eastAsia="MS Mincho"/>
          <w:sz w:val="28"/>
          <w:szCs w:val="28"/>
          <w:lang w:eastAsia="ja-JP"/>
        </w:rPr>
        <w:t xml:space="preserve">исков вносятся подробные сведения об идентифицированных индивидуальных рисках проекта. Результаты </w:t>
      </w:r>
      <w:r w:rsidRPr="00114548">
        <w:rPr>
          <w:rFonts w:eastAsia="MS Mincho"/>
          <w:sz w:val="28"/>
          <w:szCs w:val="28"/>
          <w:lang w:eastAsia="ja-JP"/>
        </w:rPr>
        <w:lastRenderedPageBreak/>
        <w:t xml:space="preserve">качественного анализа рисков, планирования реагирования на риски, осуществления реагирования на риски и мониторинга рисков вносятся в реестр рисков по мере проведения указанных процессов на всем протяжении проекта. Реестр рисков может содержать ограниченную или расширенную информацию, в зависимости от </w:t>
      </w:r>
      <w:r>
        <w:rPr>
          <w:rFonts w:eastAsia="MS Mincho"/>
          <w:sz w:val="28"/>
          <w:szCs w:val="28"/>
          <w:lang w:eastAsia="ja-JP"/>
        </w:rPr>
        <w:t>особенностей</w:t>
      </w:r>
      <w:r w:rsidRPr="00114548">
        <w:rPr>
          <w:rFonts w:eastAsia="MS Mincho"/>
          <w:sz w:val="28"/>
          <w:szCs w:val="28"/>
          <w:lang w:eastAsia="ja-JP"/>
        </w:rPr>
        <w:t xml:space="preserve"> проекта.</w:t>
      </w:r>
    </w:p>
    <w:p w:rsidR="00826626" w:rsidRPr="00925531" w:rsidRDefault="00826626" w:rsidP="00925531">
      <w:pPr>
        <w:autoSpaceDE w:val="0"/>
        <w:autoSpaceDN w:val="0"/>
        <w:adjustRightInd w:val="0"/>
        <w:spacing w:line="235" w:lineRule="auto"/>
        <w:jc w:val="right"/>
        <w:rPr>
          <w:rFonts w:ascii="Tahoma" w:eastAsia="MS Mincho" w:hAnsi="Tahoma" w:cs="Tahoma"/>
          <w:i/>
          <w:sz w:val="22"/>
          <w:szCs w:val="28"/>
          <w:lang w:eastAsia="ja-JP"/>
        </w:rPr>
      </w:pPr>
      <w:r w:rsidRPr="00925531">
        <w:rPr>
          <w:rFonts w:ascii="Tahoma" w:eastAsia="MS Mincho" w:hAnsi="Tahoma" w:cs="Tahoma"/>
          <w:i/>
          <w:sz w:val="22"/>
          <w:szCs w:val="28"/>
          <w:lang w:eastAsia="ja-JP"/>
        </w:rPr>
        <w:t xml:space="preserve">Таблица </w:t>
      </w:r>
      <w:r w:rsidR="007D426D">
        <w:rPr>
          <w:rFonts w:ascii="Tahoma" w:eastAsia="MS Mincho" w:hAnsi="Tahoma" w:cs="Tahoma"/>
          <w:i/>
          <w:sz w:val="22"/>
          <w:szCs w:val="28"/>
          <w:lang w:eastAsia="ja-JP"/>
        </w:rPr>
        <w:t>6</w:t>
      </w:r>
      <w:r w:rsidRPr="00925531">
        <w:rPr>
          <w:rFonts w:ascii="Tahoma" w:eastAsia="MS Mincho" w:hAnsi="Tahoma" w:cs="Tahoma"/>
          <w:i/>
          <w:sz w:val="22"/>
          <w:szCs w:val="28"/>
          <w:lang w:eastAsia="ja-JP"/>
        </w:rPr>
        <w:t>.1</w:t>
      </w:r>
    </w:p>
    <w:p w:rsidR="00826626" w:rsidRPr="00925531" w:rsidRDefault="00114548" w:rsidP="00925531">
      <w:pPr>
        <w:autoSpaceDE w:val="0"/>
        <w:autoSpaceDN w:val="0"/>
        <w:adjustRightInd w:val="0"/>
        <w:spacing w:line="235" w:lineRule="auto"/>
        <w:jc w:val="center"/>
        <w:rPr>
          <w:rFonts w:ascii="Tahoma" w:eastAsia="MS Mincho" w:hAnsi="Tahoma" w:cs="Tahoma"/>
          <w:b/>
          <w:sz w:val="22"/>
          <w:szCs w:val="28"/>
          <w:lang w:eastAsia="ja-JP"/>
        </w:rPr>
      </w:pPr>
      <w:r>
        <w:rPr>
          <w:rFonts w:ascii="Tahoma" w:eastAsia="MS Mincho" w:hAnsi="Tahoma" w:cs="Tahoma"/>
          <w:b/>
          <w:sz w:val="22"/>
          <w:szCs w:val="28"/>
          <w:lang w:eastAsia="ja-JP"/>
        </w:rPr>
        <w:t>Реестр</w:t>
      </w:r>
      <w:r w:rsidR="007D426D" w:rsidRPr="007D426D">
        <w:rPr>
          <w:rFonts w:ascii="Tahoma" w:eastAsia="MS Mincho" w:hAnsi="Tahoma" w:cs="Tahoma"/>
          <w:b/>
          <w:sz w:val="22"/>
          <w:szCs w:val="28"/>
          <w:lang w:eastAsia="ja-JP"/>
        </w:rPr>
        <w:t xml:space="preserve"> рисков проект</w:t>
      </w:r>
      <w:r>
        <w:rPr>
          <w:rFonts w:ascii="Tahoma" w:eastAsia="MS Mincho" w:hAnsi="Tahoma" w:cs="Tahoma"/>
          <w:b/>
          <w:sz w:val="22"/>
          <w:szCs w:val="28"/>
          <w:lang w:eastAsia="ja-JP"/>
        </w:rPr>
        <w:t>а</w:t>
      </w:r>
    </w:p>
    <w:p w:rsidR="00925531" w:rsidRDefault="00925531" w:rsidP="00925531">
      <w:pPr>
        <w:tabs>
          <w:tab w:val="left" w:pos="4425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1931"/>
        <w:gridCol w:w="1542"/>
        <w:gridCol w:w="1538"/>
        <w:gridCol w:w="1146"/>
        <w:gridCol w:w="1272"/>
        <w:gridCol w:w="1542"/>
      </w:tblGrid>
      <w:tr w:rsidR="00114548" w:rsidRPr="00925531" w:rsidTr="00114548">
        <w:tc>
          <w:tcPr>
            <w:tcW w:w="233" w:type="pct"/>
            <w:tcBorders>
              <w:bottom w:val="single" w:sz="4" w:space="0" w:color="auto"/>
            </w:tcBorders>
            <w:shd w:val="clear" w:color="auto" w:fill="FFFFFF"/>
          </w:tcPr>
          <w:p w:rsidR="00114548" w:rsidRPr="00925531" w:rsidRDefault="00114548" w:rsidP="003F3E5C">
            <w:pPr>
              <w:jc w:val="center"/>
              <w:rPr>
                <w:sz w:val="22"/>
                <w:szCs w:val="22"/>
              </w:rPr>
            </w:pPr>
            <w:r w:rsidRPr="00925531">
              <w:rPr>
                <w:sz w:val="22"/>
                <w:szCs w:val="22"/>
              </w:rPr>
              <w:t>№ п/п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FFFFFF"/>
          </w:tcPr>
          <w:p w:rsidR="00114548" w:rsidRPr="00925531" w:rsidRDefault="00114548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  <w:r w:rsidRPr="00925531">
              <w:rPr>
                <w:sz w:val="22"/>
                <w:szCs w:val="22"/>
              </w:rPr>
              <w:t xml:space="preserve"> риска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FFFFFF"/>
          </w:tcPr>
          <w:p w:rsidR="00114548" w:rsidRDefault="00114548" w:rsidP="003F3E5C">
            <w:pPr>
              <w:jc w:val="center"/>
              <w:rPr>
                <w:sz w:val="22"/>
                <w:szCs w:val="22"/>
              </w:rPr>
            </w:pPr>
            <w:r w:rsidRPr="00925531">
              <w:rPr>
                <w:sz w:val="22"/>
                <w:szCs w:val="22"/>
              </w:rPr>
              <w:t>Воздействие на проект</w:t>
            </w:r>
          </w:p>
          <w:p w:rsidR="00A73D87" w:rsidRPr="00925531" w:rsidRDefault="00A73D87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(шкала - 0,05-0,72)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FFFFFF"/>
          </w:tcPr>
          <w:p w:rsidR="00114548" w:rsidRDefault="00114548" w:rsidP="003F3E5C">
            <w:pPr>
              <w:jc w:val="center"/>
              <w:rPr>
                <w:sz w:val="22"/>
                <w:szCs w:val="22"/>
              </w:rPr>
            </w:pPr>
            <w:r w:rsidRPr="00925531">
              <w:rPr>
                <w:sz w:val="22"/>
                <w:szCs w:val="22"/>
              </w:rPr>
              <w:t>Вероятность события</w:t>
            </w:r>
            <w:r w:rsidR="00A73D87">
              <w:rPr>
                <w:sz w:val="22"/>
                <w:szCs w:val="22"/>
              </w:rPr>
              <w:t xml:space="preserve"> (шкала - 0,1-0,9)</w:t>
            </w:r>
          </w:p>
          <w:p w:rsidR="00114548" w:rsidRPr="00925531" w:rsidRDefault="00114548" w:rsidP="003F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</w:tcPr>
          <w:p w:rsidR="00114548" w:rsidRDefault="00306332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306332">
              <w:rPr>
                <w:sz w:val="22"/>
                <w:szCs w:val="22"/>
              </w:rPr>
              <w:t>исленное значение категории риска</w:t>
            </w:r>
          </w:p>
          <w:p w:rsidR="00A73D87" w:rsidRPr="00925531" w:rsidRDefault="00A73D87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(шкала - 0,01-0,72)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FFFFF"/>
          </w:tcPr>
          <w:p w:rsidR="00114548" w:rsidRDefault="00114548" w:rsidP="003F3E5C">
            <w:pPr>
              <w:jc w:val="center"/>
              <w:rPr>
                <w:sz w:val="22"/>
                <w:szCs w:val="22"/>
              </w:rPr>
            </w:pPr>
            <w:r w:rsidRPr="00925531">
              <w:rPr>
                <w:sz w:val="22"/>
                <w:szCs w:val="22"/>
              </w:rPr>
              <w:t>Категория</w:t>
            </w:r>
            <w:r>
              <w:rPr>
                <w:sz w:val="22"/>
                <w:szCs w:val="22"/>
              </w:rPr>
              <w:t xml:space="preserve"> риска</w:t>
            </w:r>
          </w:p>
          <w:p w:rsidR="00A73D87" w:rsidRPr="00925531" w:rsidRDefault="00A73D87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32A2">
              <w:rPr>
                <w:sz w:val="22"/>
                <w:szCs w:val="22"/>
              </w:rPr>
              <w:t xml:space="preserve">критичный, </w:t>
            </w:r>
            <w:r w:rsidRPr="00E57285">
              <w:rPr>
                <w:sz w:val="22"/>
                <w:szCs w:val="22"/>
              </w:rPr>
              <w:t>высокий, средний, низкий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FFFFFF"/>
          </w:tcPr>
          <w:p w:rsidR="00114548" w:rsidRPr="00925531" w:rsidRDefault="00306332" w:rsidP="00D9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6332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>ы</w:t>
            </w:r>
            <w:r w:rsidRPr="00306332">
              <w:rPr>
                <w:sz w:val="22"/>
                <w:szCs w:val="22"/>
              </w:rPr>
              <w:t xml:space="preserve"> реагирования</w:t>
            </w:r>
            <w:r>
              <w:rPr>
                <w:sz w:val="22"/>
                <w:szCs w:val="22"/>
              </w:rPr>
              <w:t xml:space="preserve"> на риск</w:t>
            </w:r>
          </w:p>
        </w:tc>
      </w:tr>
      <w:tr w:rsidR="00114548" w:rsidRPr="00E57285" w:rsidTr="00114548">
        <w:tc>
          <w:tcPr>
            <w:tcW w:w="233" w:type="pct"/>
            <w:shd w:val="clear" w:color="auto" w:fill="FFFFFF"/>
          </w:tcPr>
          <w:p w:rsidR="00114548" w:rsidRPr="00E57285" w:rsidRDefault="00114548" w:rsidP="003F3E5C">
            <w:pPr>
              <w:jc w:val="center"/>
              <w:rPr>
                <w:sz w:val="22"/>
                <w:szCs w:val="22"/>
              </w:rPr>
            </w:pPr>
            <w:r w:rsidRPr="00E57285">
              <w:rPr>
                <w:sz w:val="22"/>
                <w:szCs w:val="22"/>
              </w:rPr>
              <w:t>1</w:t>
            </w:r>
          </w:p>
        </w:tc>
        <w:tc>
          <w:tcPr>
            <w:tcW w:w="1026" w:type="pct"/>
            <w:shd w:val="clear" w:color="auto" w:fill="FFFFFF"/>
          </w:tcPr>
          <w:p w:rsidR="00114548" w:rsidRPr="00E57285" w:rsidRDefault="00114548" w:rsidP="003F3E5C">
            <w:pPr>
              <w:jc w:val="center"/>
              <w:rPr>
                <w:sz w:val="22"/>
                <w:szCs w:val="22"/>
              </w:rPr>
            </w:pPr>
            <w:r w:rsidRPr="00E57285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  <w:shd w:val="clear" w:color="auto" w:fill="FFFFFF"/>
          </w:tcPr>
          <w:p w:rsidR="00114548" w:rsidRPr="00E57285" w:rsidRDefault="00114548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7" w:type="pct"/>
            <w:shd w:val="clear" w:color="auto" w:fill="FFFFFF"/>
          </w:tcPr>
          <w:p w:rsidR="00114548" w:rsidRPr="00E57285" w:rsidRDefault="00114548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" w:type="pct"/>
            <w:shd w:val="clear" w:color="auto" w:fill="FFFFFF"/>
          </w:tcPr>
          <w:p w:rsidR="00114548" w:rsidRPr="00E57285" w:rsidRDefault="00114548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6" w:type="pct"/>
            <w:shd w:val="clear" w:color="auto" w:fill="FFFFFF"/>
          </w:tcPr>
          <w:p w:rsidR="00114548" w:rsidRPr="00E57285" w:rsidRDefault="00114548" w:rsidP="003F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9" w:type="pct"/>
            <w:shd w:val="clear" w:color="auto" w:fill="FFFFFF"/>
          </w:tcPr>
          <w:p w:rsidR="00114548" w:rsidRPr="00E57285" w:rsidRDefault="004C32A2" w:rsidP="00D9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14548" w:rsidTr="00114548">
        <w:trPr>
          <w:trHeight w:val="737"/>
        </w:trPr>
        <w:tc>
          <w:tcPr>
            <w:tcW w:w="233" w:type="pct"/>
          </w:tcPr>
          <w:p w:rsidR="00114548" w:rsidRDefault="00114548" w:rsidP="004C32A2">
            <w:pPr>
              <w:spacing w:before="160" w:after="160"/>
              <w:jc w:val="center"/>
            </w:pPr>
            <w:r>
              <w:t>1</w:t>
            </w:r>
          </w:p>
        </w:tc>
        <w:tc>
          <w:tcPr>
            <w:tcW w:w="1026" w:type="pct"/>
          </w:tcPr>
          <w:p w:rsidR="00114548" w:rsidRDefault="00114548" w:rsidP="003F3E5C">
            <w:pPr>
              <w:spacing w:before="160" w:after="160"/>
            </w:pPr>
          </w:p>
        </w:tc>
        <w:tc>
          <w:tcPr>
            <w:tcW w:w="819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817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609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676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819" w:type="pct"/>
          </w:tcPr>
          <w:p w:rsidR="00114548" w:rsidRDefault="00114548" w:rsidP="00D97C47">
            <w:pPr>
              <w:spacing w:before="160" w:after="160"/>
              <w:jc w:val="center"/>
            </w:pPr>
          </w:p>
        </w:tc>
      </w:tr>
      <w:tr w:rsidR="00114548" w:rsidTr="00114548">
        <w:trPr>
          <w:trHeight w:val="737"/>
        </w:trPr>
        <w:tc>
          <w:tcPr>
            <w:tcW w:w="233" w:type="pct"/>
          </w:tcPr>
          <w:p w:rsidR="00114548" w:rsidRDefault="00114548" w:rsidP="004C32A2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026" w:type="pct"/>
          </w:tcPr>
          <w:p w:rsidR="00114548" w:rsidRDefault="00114548" w:rsidP="003F3E5C">
            <w:pPr>
              <w:spacing w:before="160" w:after="160"/>
            </w:pPr>
          </w:p>
        </w:tc>
        <w:tc>
          <w:tcPr>
            <w:tcW w:w="819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817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609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676" w:type="pct"/>
          </w:tcPr>
          <w:p w:rsidR="00114548" w:rsidRDefault="00114548" w:rsidP="003F3E5C">
            <w:pPr>
              <w:spacing w:before="160" w:after="160"/>
              <w:jc w:val="center"/>
            </w:pPr>
          </w:p>
        </w:tc>
        <w:tc>
          <w:tcPr>
            <w:tcW w:w="819" w:type="pct"/>
          </w:tcPr>
          <w:p w:rsidR="00114548" w:rsidRDefault="00114548" w:rsidP="00D97C47">
            <w:pPr>
              <w:spacing w:before="160" w:after="160"/>
              <w:jc w:val="center"/>
            </w:pPr>
          </w:p>
        </w:tc>
      </w:tr>
    </w:tbl>
    <w:p w:rsidR="007D426D" w:rsidRDefault="007D426D" w:rsidP="007D426D">
      <w:pPr>
        <w:autoSpaceDE w:val="0"/>
        <w:autoSpaceDN w:val="0"/>
        <w:adjustRightInd w:val="0"/>
        <w:ind w:firstLine="709"/>
        <w:jc w:val="both"/>
        <w:rPr>
          <w:rFonts w:eastAsia="MS Mincho"/>
          <w:i/>
          <w:sz w:val="22"/>
          <w:szCs w:val="28"/>
          <w:lang w:eastAsia="ja-JP"/>
        </w:rPr>
      </w:pPr>
    </w:p>
    <w:p w:rsidR="00306332" w:rsidRDefault="00306332" w:rsidP="007D426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306332" w:rsidRPr="00114548" w:rsidRDefault="00306332" w:rsidP="003063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114548">
        <w:rPr>
          <w:rFonts w:eastAsia="MS Mincho"/>
          <w:sz w:val="28"/>
          <w:szCs w:val="28"/>
          <w:lang w:eastAsia="ja-JP"/>
        </w:rPr>
        <w:t xml:space="preserve">В реестре рисков каждому индивидуальному риску проекта присваивается уникальный идентификатор. Описание идентифицированных рисков дается настолько подробно, насколько это необходимо, чтобы обеспечить их однозначное понимание. </w:t>
      </w:r>
      <w:r>
        <w:rPr>
          <w:rFonts w:eastAsia="MS Mincho"/>
          <w:sz w:val="28"/>
          <w:szCs w:val="28"/>
          <w:lang w:eastAsia="ja-JP"/>
        </w:rPr>
        <w:t>Необходимо</w:t>
      </w:r>
      <w:r w:rsidRPr="00114548">
        <w:rPr>
          <w:rFonts w:eastAsia="MS Mincho"/>
          <w:sz w:val="28"/>
          <w:szCs w:val="28"/>
          <w:lang w:eastAsia="ja-JP"/>
        </w:rPr>
        <w:t xml:space="preserve"> отлич</w:t>
      </w:r>
      <w:r>
        <w:rPr>
          <w:rFonts w:eastAsia="MS Mincho"/>
          <w:sz w:val="28"/>
          <w:szCs w:val="28"/>
          <w:lang w:eastAsia="ja-JP"/>
        </w:rPr>
        <w:t>ать</w:t>
      </w:r>
      <w:r w:rsidR="0051040C">
        <w:rPr>
          <w:rFonts w:eastAsia="MS Mincho"/>
          <w:sz w:val="28"/>
          <w:szCs w:val="28"/>
          <w:lang w:eastAsia="ja-JP"/>
        </w:rPr>
        <w:t xml:space="preserve"> риск</w:t>
      </w:r>
      <w:r w:rsidRPr="00114548">
        <w:rPr>
          <w:rFonts w:eastAsia="MS Mincho"/>
          <w:sz w:val="28"/>
          <w:szCs w:val="28"/>
          <w:lang w:eastAsia="ja-JP"/>
        </w:rPr>
        <w:t xml:space="preserve"> от </w:t>
      </w:r>
      <w:r w:rsidR="0051040C">
        <w:rPr>
          <w:rFonts w:eastAsia="MS Mincho"/>
          <w:sz w:val="28"/>
          <w:szCs w:val="28"/>
          <w:lang w:eastAsia="ja-JP"/>
        </w:rPr>
        <w:t>его</w:t>
      </w:r>
      <w:r w:rsidRPr="00114548">
        <w:rPr>
          <w:rFonts w:eastAsia="MS Mincho"/>
          <w:sz w:val="28"/>
          <w:szCs w:val="28"/>
          <w:lang w:eastAsia="ja-JP"/>
        </w:rPr>
        <w:t xml:space="preserve"> п</w:t>
      </w:r>
      <w:r>
        <w:rPr>
          <w:rFonts w:eastAsia="MS Mincho"/>
          <w:sz w:val="28"/>
          <w:szCs w:val="28"/>
          <w:lang w:eastAsia="ja-JP"/>
        </w:rPr>
        <w:t>ричины и последствия</w:t>
      </w:r>
      <w:r w:rsidRPr="00114548">
        <w:rPr>
          <w:rFonts w:eastAsia="MS Mincho"/>
          <w:sz w:val="28"/>
          <w:szCs w:val="28"/>
          <w:lang w:eastAsia="ja-JP"/>
        </w:rPr>
        <w:t>.</w:t>
      </w:r>
    </w:p>
    <w:p w:rsidR="00306332" w:rsidRPr="00925531" w:rsidRDefault="00306332" w:rsidP="003063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25531">
        <w:rPr>
          <w:rFonts w:eastAsia="MS Mincho"/>
          <w:sz w:val="28"/>
          <w:szCs w:val="28"/>
          <w:lang w:eastAsia="ja-JP"/>
        </w:rPr>
        <w:t>При качественном анализе рисков определяются приоритеты идентифицированных индивидуальных рисков проекта с учетом вероятности их наступления, соответствующего воздействия на достижение целей проекта</w:t>
      </w:r>
      <w:r>
        <w:rPr>
          <w:rFonts w:eastAsia="MS Mincho"/>
          <w:sz w:val="28"/>
          <w:szCs w:val="28"/>
          <w:lang w:eastAsia="ja-JP"/>
        </w:rPr>
        <w:t xml:space="preserve"> (выполнение ограничений проекта) </w:t>
      </w:r>
      <w:r w:rsidRPr="00925531">
        <w:rPr>
          <w:rFonts w:eastAsia="MS Mincho"/>
          <w:sz w:val="28"/>
          <w:szCs w:val="28"/>
          <w:lang w:eastAsia="ja-JP"/>
        </w:rPr>
        <w:t xml:space="preserve">в случае их наступления. </w:t>
      </w:r>
      <w:r w:rsidR="007F260E">
        <w:rPr>
          <w:rFonts w:eastAsia="MS Mincho"/>
          <w:sz w:val="28"/>
          <w:szCs w:val="28"/>
          <w:lang w:eastAsia="ja-JP"/>
        </w:rPr>
        <w:t>Рекомендуемая ш</w:t>
      </w:r>
      <w:r w:rsidR="007F260E" w:rsidRPr="007F260E">
        <w:rPr>
          <w:rFonts w:eastAsia="MS Mincho"/>
          <w:sz w:val="28"/>
          <w:szCs w:val="28"/>
          <w:lang w:eastAsia="ja-JP"/>
        </w:rPr>
        <w:t>кала</w:t>
      </w:r>
      <w:r w:rsidR="007F260E">
        <w:rPr>
          <w:rFonts w:eastAsia="MS Mincho"/>
          <w:sz w:val="28"/>
          <w:szCs w:val="28"/>
          <w:lang w:eastAsia="ja-JP"/>
        </w:rPr>
        <w:t xml:space="preserve"> оценки</w:t>
      </w:r>
      <w:r w:rsidR="007F260E" w:rsidRPr="007F260E">
        <w:rPr>
          <w:rFonts w:eastAsia="MS Mincho"/>
          <w:sz w:val="28"/>
          <w:szCs w:val="28"/>
          <w:lang w:eastAsia="ja-JP"/>
        </w:rPr>
        <w:t xml:space="preserve"> влияния риска на основные цели проекта</w:t>
      </w:r>
      <w:r w:rsidR="007F260E">
        <w:rPr>
          <w:rFonts w:eastAsia="MS Mincho"/>
          <w:sz w:val="28"/>
          <w:szCs w:val="28"/>
          <w:lang w:eastAsia="ja-JP"/>
        </w:rPr>
        <w:t xml:space="preserve"> представлена в табл. 6.2. </w:t>
      </w:r>
      <w:r w:rsidRPr="00925531">
        <w:rPr>
          <w:rFonts w:eastAsia="MS Mincho"/>
          <w:sz w:val="28"/>
          <w:szCs w:val="28"/>
          <w:lang w:eastAsia="ja-JP"/>
        </w:rPr>
        <w:t xml:space="preserve">Такие оценки являются субъективными, так как они основаны на личном восприятии риска командой проекта и другими заинтересованными сторонами. </w:t>
      </w:r>
    </w:p>
    <w:p w:rsidR="00306332" w:rsidRPr="007D426D" w:rsidRDefault="00306332" w:rsidP="003063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D426D">
        <w:rPr>
          <w:rFonts w:eastAsia="MS Mincho"/>
          <w:sz w:val="28"/>
          <w:szCs w:val="28"/>
          <w:lang w:eastAsia="ja-JP"/>
        </w:rPr>
        <w:t>Качественный анализ рисков устанавливает относительные приоритеты индивидуальных рисков проекта для использования в планировании реагирования на риски. Качественный анализ рисков также закладывает основу для количественного анализа рисков, если этот процесс требуется.</w:t>
      </w:r>
    </w:p>
    <w:p w:rsidR="007F260E" w:rsidRDefault="007F260E" w:rsidP="007F260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М</w:t>
      </w:r>
      <w:r w:rsidRPr="007F260E">
        <w:rPr>
          <w:rFonts w:eastAsia="MS Mincho"/>
          <w:sz w:val="28"/>
          <w:szCs w:val="28"/>
          <w:lang w:eastAsia="ja-JP"/>
        </w:rPr>
        <w:t xml:space="preserve">атрица рисков </w:t>
      </w:r>
      <w:r>
        <w:rPr>
          <w:rFonts w:eastAsia="MS Mincho"/>
          <w:sz w:val="28"/>
          <w:szCs w:val="28"/>
          <w:lang w:eastAsia="ja-JP"/>
        </w:rPr>
        <w:t xml:space="preserve">(табл. 6.3) </w:t>
      </w:r>
      <w:r w:rsidRPr="007F260E">
        <w:rPr>
          <w:rFonts w:eastAsia="MS Mincho"/>
          <w:sz w:val="28"/>
          <w:szCs w:val="28"/>
          <w:lang w:eastAsia="ja-JP"/>
        </w:rPr>
        <w:t>используется для градации (назначения баллов) рисков или условий на основании сочетания вероятности и воздействия.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7F260E">
        <w:rPr>
          <w:rFonts w:eastAsia="MS Mincho"/>
          <w:sz w:val="28"/>
          <w:szCs w:val="28"/>
          <w:lang w:eastAsia="ja-JP"/>
        </w:rPr>
        <w:t>Матрица может строиться с использованием количественных шкал</w:t>
      </w:r>
      <w:r>
        <w:rPr>
          <w:rFonts w:eastAsia="MS Mincho"/>
          <w:sz w:val="28"/>
          <w:szCs w:val="28"/>
          <w:lang w:eastAsia="ja-JP"/>
        </w:rPr>
        <w:t xml:space="preserve">. </w:t>
      </w:r>
      <w:r w:rsidRPr="007F260E">
        <w:rPr>
          <w:rFonts w:eastAsia="MS Mincho"/>
          <w:sz w:val="28"/>
          <w:szCs w:val="28"/>
          <w:lang w:eastAsia="ja-JP"/>
        </w:rPr>
        <w:t>Балл риска позволяет отнести его к некоторой категории, в зависимости от которой будут приниматься меры по реагированию на риск</w:t>
      </w:r>
      <w:r>
        <w:rPr>
          <w:rFonts w:eastAsia="MS Mincho"/>
          <w:sz w:val="28"/>
          <w:szCs w:val="28"/>
          <w:lang w:eastAsia="ja-JP"/>
        </w:rPr>
        <w:t xml:space="preserve">. </w:t>
      </w:r>
    </w:p>
    <w:p w:rsidR="007D426D" w:rsidRDefault="00306332" w:rsidP="007F260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06332">
        <w:rPr>
          <w:rFonts w:eastAsia="MS Mincho"/>
          <w:sz w:val="28"/>
          <w:szCs w:val="28"/>
          <w:lang w:eastAsia="ja-JP"/>
        </w:rPr>
        <w:t xml:space="preserve">В тех случаях, когда потенциальные меры реагирования на риски были определены в результате процесса идентификации рисков, они регистрируются в реестре рисков. </w:t>
      </w:r>
      <w:r w:rsidR="00286EF8">
        <w:rPr>
          <w:rFonts w:eastAsia="MS Mincho"/>
          <w:sz w:val="28"/>
          <w:szCs w:val="28"/>
          <w:lang w:eastAsia="ja-JP"/>
        </w:rPr>
        <w:t>З</w:t>
      </w:r>
      <w:r w:rsidRPr="00306332">
        <w:rPr>
          <w:rFonts w:eastAsia="MS Mincho"/>
          <w:sz w:val="28"/>
          <w:szCs w:val="28"/>
          <w:lang w:eastAsia="ja-JP"/>
        </w:rPr>
        <w:t xml:space="preserve">атем </w:t>
      </w:r>
      <w:r w:rsidR="00286EF8">
        <w:rPr>
          <w:rFonts w:eastAsia="MS Mincho"/>
          <w:sz w:val="28"/>
          <w:szCs w:val="28"/>
          <w:lang w:eastAsia="ja-JP"/>
        </w:rPr>
        <w:t>э</w:t>
      </w:r>
      <w:r w:rsidR="00286EF8" w:rsidRPr="00306332">
        <w:rPr>
          <w:rFonts w:eastAsia="MS Mincho"/>
          <w:sz w:val="28"/>
          <w:szCs w:val="28"/>
          <w:lang w:eastAsia="ja-JP"/>
        </w:rPr>
        <w:t xml:space="preserve">то </w:t>
      </w:r>
      <w:r w:rsidRPr="00306332">
        <w:rPr>
          <w:rFonts w:eastAsia="MS Mincho"/>
          <w:sz w:val="28"/>
          <w:szCs w:val="28"/>
          <w:lang w:eastAsia="ja-JP"/>
        </w:rPr>
        <w:t>подтверждается в ходе процесса планирования реагирования на риски.</w:t>
      </w:r>
    </w:p>
    <w:p w:rsidR="00306332" w:rsidRDefault="00306332" w:rsidP="007D426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306332" w:rsidRPr="00925531" w:rsidRDefault="00306332" w:rsidP="00306332">
      <w:pPr>
        <w:autoSpaceDE w:val="0"/>
        <w:autoSpaceDN w:val="0"/>
        <w:adjustRightInd w:val="0"/>
        <w:spacing w:line="235" w:lineRule="auto"/>
        <w:jc w:val="right"/>
        <w:rPr>
          <w:rFonts w:ascii="Tahoma" w:eastAsia="MS Mincho" w:hAnsi="Tahoma" w:cs="Tahoma"/>
          <w:i/>
          <w:sz w:val="22"/>
          <w:szCs w:val="28"/>
          <w:lang w:eastAsia="ja-JP"/>
        </w:rPr>
      </w:pPr>
      <w:r w:rsidRPr="00925531">
        <w:rPr>
          <w:rFonts w:ascii="Tahoma" w:eastAsia="MS Mincho" w:hAnsi="Tahoma" w:cs="Tahoma"/>
          <w:i/>
          <w:sz w:val="22"/>
          <w:szCs w:val="28"/>
          <w:lang w:eastAsia="ja-JP"/>
        </w:rPr>
        <w:t xml:space="preserve">Таблица </w:t>
      </w:r>
      <w:r>
        <w:rPr>
          <w:rFonts w:ascii="Tahoma" w:eastAsia="MS Mincho" w:hAnsi="Tahoma" w:cs="Tahoma"/>
          <w:i/>
          <w:sz w:val="22"/>
          <w:szCs w:val="28"/>
          <w:lang w:eastAsia="ja-JP"/>
        </w:rPr>
        <w:t>6.2</w:t>
      </w:r>
    </w:p>
    <w:p w:rsidR="00306332" w:rsidRPr="00925531" w:rsidRDefault="00306332" w:rsidP="00306332">
      <w:pPr>
        <w:autoSpaceDE w:val="0"/>
        <w:autoSpaceDN w:val="0"/>
        <w:adjustRightInd w:val="0"/>
        <w:spacing w:line="235" w:lineRule="auto"/>
        <w:jc w:val="center"/>
        <w:rPr>
          <w:rFonts w:ascii="Tahoma" w:eastAsia="MS Mincho" w:hAnsi="Tahoma" w:cs="Tahoma"/>
          <w:b/>
          <w:sz w:val="22"/>
          <w:szCs w:val="28"/>
          <w:lang w:eastAsia="ja-JP"/>
        </w:rPr>
      </w:pPr>
      <w:r>
        <w:rPr>
          <w:rFonts w:ascii="Tahoma" w:eastAsia="MS Mincho" w:hAnsi="Tahoma" w:cs="Tahoma"/>
          <w:b/>
          <w:sz w:val="22"/>
          <w:szCs w:val="28"/>
          <w:lang w:eastAsia="ja-JP"/>
        </w:rPr>
        <w:t>Ш</w:t>
      </w:r>
      <w:r w:rsidRPr="00306332">
        <w:rPr>
          <w:rFonts w:ascii="Tahoma" w:eastAsia="MS Mincho" w:hAnsi="Tahoma" w:cs="Tahoma"/>
          <w:b/>
          <w:sz w:val="22"/>
          <w:szCs w:val="28"/>
          <w:lang w:eastAsia="ja-JP"/>
        </w:rPr>
        <w:t>кал</w:t>
      </w:r>
      <w:r>
        <w:rPr>
          <w:rFonts w:ascii="Tahoma" w:eastAsia="MS Mincho" w:hAnsi="Tahoma" w:cs="Tahoma"/>
          <w:b/>
          <w:sz w:val="22"/>
          <w:szCs w:val="28"/>
          <w:lang w:eastAsia="ja-JP"/>
        </w:rPr>
        <w:t>а</w:t>
      </w:r>
      <w:r w:rsidRPr="00306332">
        <w:rPr>
          <w:rFonts w:ascii="Tahoma" w:eastAsia="MS Mincho" w:hAnsi="Tahoma" w:cs="Tahoma"/>
          <w:b/>
          <w:sz w:val="22"/>
          <w:szCs w:val="28"/>
          <w:lang w:eastAsia="ja-JP"/>
        </w:rPr>
        <w:t xml:space="preserve"> </w:t>
      </w:r>
      <w:r w:rsidR="00A73D87">
        <w:rPr>
          <w:rFonts w:ascii="Tahoma" w:eastAsia="MS Mincho" w:hAnsi="Tahoma" w:cs="Tahoma"/>
          <w:b/>
          <w:sz w:val="22"/>
          <w:szCs w:val="28"/>
          <w:lang w:eastAsia="ja-JP"/>
        </w:rPr>
        <w:t>воздействия</w:t>
      </w:r>
      <w:r w:rsidRPr="00306332">
        <w:rPr>
          <w:rFonts w:ascii="Tahoma" w:eastAsia="MS Mincho" w:hAnsi="Tahoma" w:cs="Tahoma"/>
          <w:b/>
          <w:sz w:val="22"/>
          <w:szCs w:val="28"/>
          <w:lang w:eastAsia="ja-JP"/>
        </w:rPr>
        <w:t xml:space="preserve"> риска на основные цели проекта</w:t>
      </w:r>
    </w:p>
    <w:tbl>
      <w:tblPr>
        <w:tblStyle w:val="a6"/>
        <w:tblW w:w="5000" w:type="pct"/>
        <w:tblLook w:val="0600" w:firstRow="0" w:lastRow="0" w:firstColumn="0" w:lastColumn="0" w:noHBand="1" w:noVBand="1"/>
      </w:tblPr>
      <w:tblGrid>
        <w:gridCol w:w="1481"/>
        <w:gridCol w:w="1774"/>
        <w:gridCol w:w="1774"/>
        <w:gridCol w:w="1514"/>
        <w:gridCol w:w="1514"/>
        <w:gridCol w:w="1514"/>
      </w:tblGrid>
      <w:tr w:rsidR="00306332" w:rsidRPr="00306332" w:rsidTr="00306332">
        <w:trPr>
          <w:trHeight w:val="1087"/>
        </w:trPr>
        <w:tc>
          <w:tcPr>
            <w:tcW w:w="773" w:type="pct"/>
            <w:tcBorders>
              <w:tl2br w:val="single" w:sz="4" w:space="0" w:color="auto"/>
            </w:tcBorders>
            <w:hideMark/>
          </w:tcPr>
          <w:p w:rsidR="00306332" w:rsidRDefault="00306332" w:rsidP="0030633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sz w:val="22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Влияние</w:t>
            </w:r>
          </w:p>
          <w:p w:rsid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22"/>
                <w:szCs w:val="28"/>
                <w:lang w:eastAsia="ja-JP"/>
              </w:rPr>
            </w:pPr>
          </w:p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Цель проекта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Очень низкое /0,05</w:t>
            </w:r>
          </w:p>
        </w:tc>
        <w:tc>
          <w:tcPr>
            <w:tcW w:w="927" w:type="pct"/>
            <w:hideMark/>
          </w:tcPr>
          <w:p w:rsidR="00306332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 xml:space="preserve">Низкое </w:t>
            </w:r>
          </w:p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/0,10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Умеренное /0,20</w:t>
            </w:r>
          </w:p>
        </w:tc>
        <w:tc>
          <w:tcPr>
            <w:tcW w:w="791" w:type="pct"/>
            <w:hideMark/>
          </w:tcPr>
          <w:p w:rsidR="00306332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 xml:space="preserve">Высокое </w:t>
            </w:r>
          </w:p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/0,40</w:t>
            </w:r>
          </w:p>
        </w:tc>
        <w:tc>
          <w:tcPr>
            <w:tcW w:w="791" w:type="pct"/>
            <w:hideMark/>
          </w:tcPr>
          <w:p w:rsidR="00306332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Очень высокое</w:t>
            </w:r>
          </w:p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/0,72</w:t>
            </w:r>
          </w:p>
        </w:tc>
      </w:tr>
      <w:tr w:rsidR="00306332" w:rsidRPr="00306332" w:rsidTr="00306332">
        <w:trPr>
          <w:trHeight w:val="1551"/>
        </w:trPr>
        <w:tc>
          <w:tcPr>
            <w:tcW w:w="773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Стоимость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Незначительное увеличение стоимости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 xml:space="preserve">Увеличение стоимости </w:t>
            </w:r>
            <w:r w:rsidRPr="00306332">
              <w:rPr>
                <w:rFonts w:eastAsia="MS Mincho"/>
                <w:sz w:val="22"/>
                <w:szCs w:val="28"/>
                <w:lang w:val="en-US" w:eastAsia="ja-JP"/>
              </w:rPr>
              <w:t>&lt;</w:t>
            </w:r>
            <w:r w:rsidRPr="00306332">
              <w:rPr>
                <w:rFonts w:eastAsia="MS Mincho"/>
                <w:sz w:val="22"/>
                <w:szCs w:val="28"/>
                <w:lang w:eastAsia="ja-JP"/>
              </w:rPr>
              <w:t>10%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Увеличение стоимости на 10-20%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Увеличение стоимости на  20-40%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 xml:space="preserve">Увеличение стоимости </w:t>
            </w:r>
            <w:r w:rsidRPr="00306332">
              <w:rPr>
                <w:rFonts w:eastAsia="MS Mincho"/>
                <w:sz w:val="22"/>
                <w:szCs w:val="28"/>
                <w:lang w:val="en-US" w:eastAsia="ja-JP"/>
              </w:rPr>
              <w:t>&gt;</w:t>
            </w:r>
            <w:r w:rsidRPr="00306332">
              <w:rPr>
                <w:rFonts w:eastAsia="MS Mincho"/>
                <w:sz w:val="22"/>
                <w:szCs w:val="28"/>
                <w:lang w:eastAsia="ja-JP"/>
              </w:rPr>
              <w:t>40%</w:t>
            </w:r>
          </w:p>
        </w:tc>
      </w:tr>
      <w:tr w:rsidR="00306332" w:rsidRPr="00306332" w:rsidTr="00306332">
        <w:trPr>
          <w:trHeight w:val="1551"/>
        </w:trPr>
        <w:tc>
          <w:tcPr>
            <w:tcW w:w="773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Сроки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Незначительное увеличение сроков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 xml:space="preserve">Увеличение сроков </w:t>
            </w:r>
            <w:r w:rsidRPr="00306332">
              <w:rPr>
                <w:rFonts w:eastAsia="MS Mincho"/>
                <w:sz w:val="22"/>
                <w:szCs w:val="28"/>
                <w:lang w:val="en-US" w:eastAsia="ja-JP"/>
              </w:rPr>
              <w:t>&lt;5%</w:t>
            </w:r>
          </w:p>
        </w:tc>
        <w:tc>
          <w:tcPr>
            <w:tcW w:w="791" w:type="pct"/>
            <w:hideMark/>
          </w:tcPr>
          <w:p w:rsidR="00306332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 xml:space="preserve">Увеличение сроков на </w:t>
            </w:r>
          </w:p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5-10%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Увеличение сроков на 10-20%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 xml:space="preserve">Увеличение сроков </w:t>
            </w:r>
            <w:r w:rsidRPr="00306332">
              <w:rPr>
                <w:rFonts w:eastAsia="MS Mincho"/>
                <w:sz w:val="22"/>
                <w:szCs w:val="28"/>
                <w:lang w:val="en-US" w:eastAsia="ja-JP"/>
              </w:rPr>
              <w:t>&gt;</w:t>
            </w:r>
            <w:r w:rsidRPr="00306332">
              <w:rPr>
                <w:rFonts w:eastAsia="MS Mincho"/>
                <w:sz w:val="22"/>
                <w:szCs w:val="28"/>
                <w:lang w:eastAsia="ja-JP"/>
              </w:rPr>
              <w:t>20%</w:t>
            </w:r>
          </w:p>
        </w:tc>
      </w:tr>
      <w:tr w:rsidR="00306332" w:rsidRPr="00306332" w:rsidTr="00306332">
        <w:trPr>
          <w:trHeight w:val="1905"/>
        </w:trPr>
        <w:tc>
          <w:tcPr>
            <w:tcW w:w="773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Содержание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Едва заметное сокращение содержания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Затронуты второстепенные области содержания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Затронуты основные области содержания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Сокращение содержания неприемлемо для спонсора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Конечный продукт проекта практически бесполезен</w:t>
            </w:r>
          </w:p>
        </w:tc>
      </w:tr>
      <w:tr w:rsidR="00306332" w:rsidRPr="00306332" w:rsidTr="00306332">
        <w:trPr>
          <w:trHeight w:val="2260"/>
        </w:trPr>
        <w:tc>
          <w:tcPr>
            <w:tcW w:w="773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8"/>
                <w:lang w:eastAsia="ja-JP"/>
              </w:rPr>
              <w:t>Качество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Едва заметное ухудшение качества</w:t>
            </w:r>
          </w:p>
        </w:tc>
        <w:tc>
          <w:tcPr>
            <w:tcW w:w="927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Затронуты только самые требовательные области применения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Снижение качества требует одобрения спонсора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Снижение качества неприемлемо для спонсора</w:t>
            </w:r>
          </w:p>
        </w:tc>
        <w:tc>
          <w:tcPr>
            <w:tcW w:w="791" w:type="pct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8"/>
                <w:lang w:eastAsia="ja-JP"/>
              </w:rPr>
            </w:pPr>
            <w:r w:rsidRPr="00306332">
              <w:rPr>
                <w:rFonts w:eastAsia="MS Mincho"/>
                <w:sz w:val="22"/>
                <w:szCs w:val="28"/>
                <w:lang w:eastAsia="ja-JP"/>
              </w:rPr>
              <w:t>Конечный продукт проекта практически бесполезен</w:t>
            </w:r>
          </w:p>
        </w:tc>
      </w:tr>
    </w:tbl>
    <w:p w:rsidR="00306332" w:rsidRDefault="00306332" w:rsidP="007D426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306332" w:rsidRPr="00925531" w:rsidRDefault="00306332" w:rsidP="00306332">
      <w:pPr>
        <w:autoSpaceDE w:val="0"/>
        <w:autoSpaceDN w:val="0"/>
        <w:adjustRightInd w:val="0"/>
        <w:spacing w:line="235" w:lineRule="auto"/>
        <w:jc w:val="right"/>
        <w:rPr>
          <w:rFonts w:ascii="Tahoma" w:eastAsia="MS Mincho" w:hAnsi="Tahoma" w:cs="Tahoma"/>
          <w:i/>
          <w:sz w:val="22"/>
          <w:szCs w:val="28"/>
          <w:lang w:eastAsia="ja-JP"/>
        </w:rPr>
      </w:pPr>
      <w:r w:rsidRPr="00925531">
        <w:rPr>
          <w:rFonts w:ascii="Tahoma" w:eastAsia="MS Mincho" w:hAnsi="Tahoma" w:cs="Tahoma"/>
          <w:i/>
          <w:sz w:val="22"/>
          <w:szCs w:val="28"/>
          <w:lang w:eastAsia="ja-JP"/>
        </w:rPr>
        <w:t xml:space="preserve">Таблица </w:t>
      </w:r>
      <w:r>
        <w:rPr>
          <w:rFonts w:ascii="Tahoma" w:eastAsia="MS Mincho" w:hAnsi="Tahoma" w:cs="Tahoma"/>
          <w:i/>
          <w:sz w:val="22"/>
          <w:szCs w:val="28"/>
          <w:lang w:eastAsia="ja-JP"/>
        </w:rPr>
        <w:t>6.3</w:t>
      </w:r>
    </w:p>
    <w:p w:rsidR="00306332" w:rsidRPr="00925531" w:rsidRDefault="00306332" w:rsidP="00306332">
      <w:pPr>
        <w:autoSpaceDE w:val="0"/>
        <w:autoSpaceDN w:val="0"/>
        <w:adjustRightInd w:val="0"/>
        <w:spacing w:line="235" w:lineRule="auto"/>
        <w:jc w:val="center"/>
        <w:rPr>
          <w:rFonts w:ascii="Tahoma" w:eastAsia="MS Mincho" w:hAnsi="Tahoma" w:cs="Tahoma"/>
          <w:b/>
          <w:sz w:val="22"/>
          <w:szCs w:val="28"/>
          <w:lang w:eastAsia="ja-JP"/>
        </w:rPr>
      </w:pPr>
      <w:r w:rsidRPr="00306332">
        <w:rPr>
          <w:rFonts w:ascii="Tahoma" w:eastAsia="MS Mincho" w:hAnsi="Tahoma" w:cs="Tahoma"/>
          <w:b/>
          <w:sz w:val="22"/>
          <w:szCs w:val="28"/>
          <w:lang w:eastAsia="ja-JP"/>
        </w:rPr>
        <w:t>Матрица вероятности и воздействий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1"/>
        <w:gridCol w:w="801"/>
        <w:gridCol w:w="803"/>
        <w:gridCol w:w="804"/>
        <w:gridCol w:w="804"/>
        <w:gridCol w:w="831"/>
        <w:gridCol w:w="804"/>
        <w:gridCol w:w="804"/>
        <w:gridCol w:w="806"/>
        <w:gridCol w:w="806"/>
        <w:gridCol w:w="829"/>
      </w:tblGrid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5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Вероятность</w:t>
            </w:r>
          </w:p>
        </w:tc>
        <w:tc>
          <w:tcPr>
            <w:tcW w:w="2128" w:type="pct"/>
            <w:gridSpan w:val="5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Угрозы</w:t>
            </w:r>
          </w:p>
        </w:tc>
        <w:tc>
          <w:tcPr>
            <w:tcW w:w="2130" w:type="pct"/>
            <w:gridSpan w:val="5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Возможности</w:t>
            </w:r>
          </w:p>
        </w:tc>
      </w:tr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eastAsia="ja-JP"/>
              </w:rPr>
              <w:t>0,90</w:t>
            </w:r>
          </w:p>
        </w:tc>
        <w:tc>
          <w:tcPr>
            <w:tcW w:w="422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0,05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0,09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0,18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0,36</w:t>
            </w:r>
          </w:p>
        </w:tc>
        <w:tc>
          <w:tcPr>
            <w:tcW w:w="436" w:type="pct"/>
            <w:shd w:val="clear" w:color="auto" w:fill="93E2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0,72</w:t>
            </w:r>
          </w:p>
        </w:tc>
        <w:tc>
          <w:tcPr>
            <w:tcW w:w="423" w:type="pct"/>
            <w:shd w:val="clear" w:color="auto" w:fill="93E2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0,72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0,36</w:t>
            </w:r>
          </w:p>
        </w:tc>
        <w:tc>
          <w:tcPr>
            <w:tcW w:w="424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0,18</w:t>
            </w:r>
          </w:p>
        </w:tc>
        <w:tc>
          <w:tcPr>
            <w:tcW w:w="424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0,09</w:t>
            </w:r>
          </w:p>
        </w:tc>
        <w:tc>
          <w:tcPr>
            <w:tcW w:w="437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0,05</w:t>
            </w:r>
          </w:p>
        </w:tc>
      </w:tr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eastAsia="ja-JP"/>
              </w:rPr>
              <w:t>0,70</w:t>
            </w:r>
          </w:p>
        </w:tc>
        <w:tc>
          <w:tcPr>
            <w:tcW w:w="422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0,04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0,07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0,14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0,28</w:t>
            </w:r>
          </w:p>
        </w:tc>
        <w:tc>
          <w:tcPr>
            <w:tcW w:w="436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0,56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0,56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0,28</w:t>
            </w:r>
          </w:p>
        </w:tc>
        <w:tc>
          <w:tcPr>
            <w:tcW w:w="424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0,14</w:t>
            </w:r>
          </w:p>
        </w:tc>
        <w:tc>
          <w:tcPr>
            <w:tcW w:w="424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0,07</w:t>
            </w:r>
          </w:p>
        </w:tc>
        <w:tc>
          <w:tcPr>
            <w:tcW w:w="437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0,04</w:t>
            </w:r>
          </w:p>
        </w:tc>
      </w:tr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eastAsia="ja-JP"/>
              </w:rPr>
              <w:t>0,50</w:t>
            </w:r>
          </w:p>
        </w:tc>
        <w:tc>
          <w:tcPr>
            <w:tcW w:w="422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0,03</w:t>
            </w:r>
          </w:p>
        </w:tc>
        <w:tc>
          <w:tcPr>
            <w:tcW w:w="423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0,05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0,10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0,20</w:t>
            </w:r>
          </w:p>
        </w:tc>
        <w:tc>
          <w:tcPr>
            <w:tcW w:w="436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0,40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0,40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0,20</w:t>
            </w:r>
          </w:p>
        </w:tc>
        <w:tc>
          <w:tcPr>
            <w:tcW w:w="424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0,10</w:t>
            </w:r>
          </w:p>
        </w:tc>
        <w:tc>
          <w:tcPr>
            <w:tcW w:w="424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0,05</w:t>
            </w:r>
          </w:p>
        </w:tc>
        <w:tc>
          <w:tcPr>
            <w:tcW w:w="437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0,03</w:t>
            </w:r>
          </w:p>
        </w:tc>
      </w:tr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,30</w:t>
            </w:r>
          </w:p>
        </w:tc>
        <w:tc>
          <w:tcPr>
            <w:tcW w:w="422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0,02</w:t>
            </w:r>
          </w:p>
        </w:tc>
        <w:tc>
          <w:tcPr>
            <w:tcW w:w="423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0,03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0,06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0,12</w:t>
            </w:r>
          </w:p>
        </w:tc>
        <w:tc>
          <w:tcPr>
            <w:tcW w:w="436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0,24</w:t>
            </w:r>
          </w:p>
        </w:tc>
        <w:tc>
          <w:tcPr>
            <w:tcW w:w="423" w:type="pct"/>
            <w:shd w:val="clear" w:color="auto" w:fill="FF6666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0,24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0,12</w:t>
            </w:r>
          </w:p>
        </w:tc>
        <w:tc>
          <w:tcPr>
            <w:tcW w:w="424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</w:t>
            </w:r>
            <w:r w:rsidRPr="0030633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24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0,03</w:t>
            </w:r>
          </w:p>
        </w:tc>
        <w:tc>
          <w:tcPr>
            <w:tcW w:w="437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0,02</w:t>
            </w:r>
          </w:p>
        </w:tc>
      </w:tr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0,10</w:t>
            </w:r>
          </w:p>
        </w:tc>
        <w:tc>
          <w:tcPr>
            <w:tcW w:w="422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0,01</w:t>
            </w:r>
          </w:p>
        </w:tc>
        <w:tc>
          <w:tcPr>
            <w:tcW w:w="423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0,01</w:t>
            </w:r>
          </w:p>
        </w:tc>
        <w:tc>
          <w:tcPr>
            <w:tcW w:w="423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0,02</w:t>
            </w:r>
          </w:p>
        </w:tc>
        <w:tc>
          <w:tcPr>
            <w:tcW w:w="423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0,04</w:t>
            </w:r>
          </w:p>
        </w:tc>
        <w:tc>
          <w:tcPr>
            <w:tcW w:w="436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0,08</w:t>
            </w:r>
          </w:p>
        </w:tc>
        <w:tc>
          <w:tcPr>
            <w:tcW w:w="423" w:type="pct"/>
            <w:shd w:val="clear" w:color="auto" w:fill="AB74D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0,08</w:t>
            </w:r>
          </w:p>
        </w:tc>
        <w:tc>
          <w:tcPr>
            <w:tcW w:w="423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0,04</w:t>
            </w:r>
          </w:p>
        </w:tc>
        <w:tc>
          <w:tcPr>
            <w:tcW w:w="424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</w:t>
            </w:r>
            <w:r w:rsidRPr="0030633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24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0,01</w:t>
            </w:r>
          </w:p>
        </w:tc>
        <w:tc>
          <w:tcPr>
            <w:tcW w:w="437" w:type="pct"/>
            <w:shd w:val="clear" w:color="auto" w:fill="37FF92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  <w:t>0,01</w:t>
            </w:r>
          </w:p>
        </w:tc>
      </w:tr>
      <w:tr w:rsidR="00306332" w:rsidRPr="00306332" w:rsidTr="00306332">
        <w:trPr>
          <w:trHeight w:val="20"/>
        </w:trPr>
        <w:tc>
          <w:tcPr>
            <w:tcW w:w="742" w:type="pct"/>
            <w:shd w:val="clear" w:color="auto" w:fill="auto"/>
            <w:tcMar>
              <w:top w:w="66" w:type="dxa"/>
              <w:left w:w="15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Воздействие</w:t>
            </w:r>
          </w:p>
        </w:tc>
        <w:tc>
          <w:tcPr>
            <w:tcW w:w="422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0,05</w:t>
            </w:r>
          </w:p>
        </w:tc>
        <w:tc>
          <w:tcPr>
            <w:tcW w:w="423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0,10</w:t>
            </w:r>
          </w:p>
        </w:tc>
        <w:tc>
          <w:tcPr>
            <w:tcW w:w="423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0,20</w:t>
            </w:r>
          </w:p>
        </w:tc>
        <w:tc>
          <w:tcPr>
            <w:tcW w:w="423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0,40</w:t>
            </w:r>
          </w:p>
        </w:tc>
        <w:tc>
          <w:tcPr>
            <w:tcW w:w="436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</w:t>
            </w:r>
            <w:r w:rsidRPr="00306332">
              <w:rPr>
                <w:rFonts w:eastAsia="MS Mincho"/>
                <w:sz w:val="22"/>
                <w:szCs w:val="22"/>
                <w:lang w:eastAsia="ja-JP"/>
              </w:rPr>
              <w:t>72</w:t>
            </w:r>
          </w:p>
        </w:tc>
        <w:tc>
          <w:tcPr>
            <w:tcW w:w="423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0,80</w:t>
            </w:r>
          </w:p>
        </w:tc>
        <w:tc>
          <w:tcPr>
            <w:tcW w:w="423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0,40</w:t>
            </w:r>
          </w:p>
        </w:tc>
        <w:tc>
          <w:tcPr>
            <w:tcW w:w="424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</w:t>
            </w:r>
            <w:r w:rsidRPr="00306332"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0,10</w:t>
            </w:r>
          </w:p>
        </w:tc>
        <w:tc>
          <w:tcPr>
            <w:tcW w:w="437" w:type="pc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:rsidR="0010417F" w:rsidRPr="00306332" w:rsidRDefault="00306332" w:rsidP="0030633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06332">
              <w:rPr>
                <w:rFonts w:eastAsia="MS Mincho"/>
                <w:sz w:val="22"/>
                <w:szCs w:val="22"/>
                <w:lang w:val="en-US" w:eastAsia="ja-JP"/>
              </w:rPr>
              <w:t>0,05</w:t>
            </w:r>
          </w:p>
        </w:tc>
      </w:tr>
    </w:tbl>
    <w:p w:rsidR="00306332" w:rsidRDefault="003063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4C32A2" w:rsidRDefault="004C32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C32A2">
        <w:rPr>
          <w:rFonts w:eastAsia="MS Mincho"/>
          <w:sz w:val="28"/>
          <w:szCs w:val="28"/>
          <w:lang w:eastAsia="ja-JP"/>
        </w:rPr>
        <w:t>Реагирование на риски должно соответствовать серьезности рисков, быть экономически эффективным, реалистичным в контексте проекта, согласованным со всеми вовлеченными сторонами и иметь назначенное ответственное лицо.</w:t>
      </w:r>
      <w:r w:rsidRPr="004C32A2">
        <w:t xml:space="preserve"> </w:t>
      </w:r>
    </w:p>
    <w:p w:rsidR="004C32A2" w:rsidRDefault="004C32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C32A2">
        <w:rPr>
          <w:rFonts w:eastAsia="MS Mincho"/>
          <w:sz w:val="28"/>
          <w:szCs w:val="28"/>
          <w:lang w:eastAsia="ja-JP"/>
        </w:rPr>
        <w:lastRenderedPageBreak/>
        <w:t>В работе с угрозами имеется пять альтернативных стратегий:</w:t>
      </w:r>
    </w:p>
    <w:p w:rsidR="004C32A2" w:rsidRDefault="004C32A2" w:rsidP="004C32A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71B49">
        <w:rPr>
          <w:rFonts w:eastAsia="MS Mincho"/>
          <w:b/>
          <w:sz w:val="28"/>
          <w:szCs w:val="28"/>
          <w:lang w:eastAsia="ja-JP"/>
        </w:rPr>
        <w:t>Эскалация</w:t>
      </w:r>
      <w:r w:rsidRPr="00F71B49">
        <w:rPr>
          <w:rFonts w:eastAsia="MS Mincho"/>
          <w:sz w:val="28"/>
          <w:szCs w:val="28"/>
          <w:lang w:eastAsia="ja-JP"/>
        </w:rPr>
        <w:t xml:space="preserve">. </w:t>
      </w:r>
      <w:r w:rsidR="00F71B49" w:rsidRPr="00F71B49">
        <w:rPr>
          <w:rFonts w:eastAsia="MS Mincho"/>
          <w:sz w:val="28"/>
          <w:szCs w:val="28"/>
          <w:lang w:eastAsia="ja-JP"/>
        </w:rPr>
        <w:t>Когда</w:t>
      </w:r>
      <w:r w:rsidRPr="00F71B49">
        <w:rPr>
          <w:rFonts w:eastAsia="MS Mincho"/>
          <w:sz w:val="28"/>
          <w:szCs w:val="28"/>
          <w:lang w:eastAsia="ja-JP"/>
        </w:rPr>
        <w:t xml:space="preserve"> угроза выходит за рамки проекта или предлагаемые меры реагирования выходят за рамки полномо</w:t>
      </w:r>
      <w:r w:rsidR="00F71B49" w:rsidRPr="00F71B49">
        <w:rPr>
          <w:rFonts w:eastAsia="MS Mincho"/>
          <w:sz w:val="28"/>
          <w:szCs w:val="28"/>
          <w:lang w:eastAsia="ja-JP"/>
        </w:rPr>
        <w:t>чий руководителя проекта</w:t>
      </w:r>
      <w:r w:rsidRPr="00F71B49">
        <w:rPr>
          <w:rFonts w:eastAsia="MS Mincho"/>
          <w:sz w:val="28"/>
          <w:szCs w:val="28"/>
          <w:lang w:eastAsia="ja-JP"/>
        </w:rPr>
        <w:t xml:space="preserve"> </w:t>
      </w:r>
      <w:r w:rsidR="00F71B49" w:rsidRPr="00F71B49">
        <w:rPr>
          <w:rFonts w:eastAsia="MS Mincho"/>
          <w:sz w:val="28"/>
          <w:szCs w:val="28"/>
          <w:lang w:eastAsia="ja-JP"/>
        </w:rPr>
        <w:t>у</w:t>
      </w:r>
      <w:r w:rsidRPr="00F71B49">
        <w:rPr>
          <w:rFonts w:eastAsia="MS Mincho"/>
          <w:sz w:val="28"/>
          <w:szCs w:val="28"/>
          <w:lang w:eastAsia="ja-JP"/>
        </w:rPr>
        <w:t>правление</w:t>
      </w:r>
      <w:r w:rsidR="00F71B49">
        <w:rPr>
          <w:rFonts w:eastAsia="MS Mincho"/>
          <w:sz w:val="28"/>
          <w:szCs w:val="28"/>
          <w:lang w:eastAsia="ja-JP"/>
        </w:rPr>
        <w:t xml:space="preserve"> данным</w:t>
      </w:r>
      <w:r w:rsidRPr="00F71B49">
        <w:rPr>
          <w:rFonts w:eastAsia="MS Mincho"/>
          <w:sz w:val="28"/>
          <w:szCs w:val="28"/>
          <w:lang w:eastAsia="ja-JP"/>
        </w:rPr>
        <w:t xml:space="preserve"> </w:t>
      </w:r>
      <w:r w:rsidR="00F71B49" w:rsidRPr="00F71B49">
        <w:rPr>
          <w:rFonts w:eastAsia="MS Mincho"/>
          <w:sz w:val="28"/>
          <w:szCs w:val="28"/>
          <w:lang w:eastAsia="ja-JP"/>
        </w:rPr>
        <w:t>риском</w:t>
      </w:r>
      <w:r w:rsidRPr="00F71B49">
        <w:rPr>
          <w:rFonts w:eastAsia="MS Mincho"/>
          <w:sz w:val="28"/>
          <w:szCs w:val="28"/>
          <w:lang w:eastAsia="ja-JP"/>
        </w:rPr>
        <w:t xml:space="preserve"> </w:t>
      </w:r>
      <w:r w:rsidR="00F71B49" w:rsidRPr="00F71B49">
        <w:rPr>
          <w:rFonts w:eastAsia="MS Mincho"/>
          <w:sz w:val="28"/>
          <w:szCs w:val="28"/>
          <w:lang w:eastAsia="ja-JP"/>
        </w:rPr>
        <w:t>передается</w:t>
      </w:r>
      <w:r w:rsidRPr="00F71B49">
        <w:rPr>
          <w:rFonts w:eastAsia="MS Mincho"/>
          <w:sz w:val="28"/>
          <w:szCs w:val="28"/>
          <w:lang w:eastAsia="ja-JP"/>
        </w:rPr>
        <w:t xml:space="preserve"> на уров</w:t>
      </w:r>
      <w:r w:rsidR="00F71B49" w:rsidRPr="00F71B49">
        <w:rPr>
          <w:rFonts w:eastAsia="MS Mincho"/>
          <w:sz w:val="28"/>
          <w:szCs w:val="28"/>
          <w:lang w:eastAsia="ja-JP"/>
        </w:rPr>
        <w:t>ень</w:t>
      </w:r>
      <w:r w:rsidRPr="00F71B49">
        <w:rPr>
          <w:rFonts w:eastAsia="MS Mincho"/>
          <w:sz w:val="28"/>
          <w:szCs w:val="28"/>
          <w:lang w:eastAsia="ja-JP"/>
        </w:rPr>
        <w:t xml:space="preserve"> программы, портфеля или другой подходящей части организации. После осуществления эскалации команда проекта не ведет мониторинг угрозы, хотя эта угроза может быть внесена в реестр рисков для информации.</w:t>
      </w:r>
    </w:p>
    <w:p w:rsidR="00F71B49" w:rsidRDefault="00F71B49" w:rsidP="00F71B4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71B49">
        <w:rPr>
          <w:rFonts w:eastAsia="MS Mincho"/>
          <w:b/>
          <w:sz w:val="28"/>
          <w:szCs w:val="28"/>
          <w:lang w:eastAsia="ja-JP"/>
        </w:rPr>
        <w:t xml:space="preserve">Уклонение </w:t>
      </w:r>
      <w:r w:rsidRPr="00F71B49">
        <w:rPr>
          <w:rFonts w:eastAsia="MS Mincho"/>
          <w:sz w:val="28"/>
          <w:szCs w:val="28"/>
          <w:lang w:eastAsia="ja-JP"/>
        </w:rPr>
        <w:t>от риска — это стратегия, когда команда проекта предпринимает меры с целью</w:t>
      </w:r>
      <w:r>
        <w:rPr>
          <w:rFonts w:eastAsia="MS Mincho"/>
          <w:sz w:val="28"/>
          <w:szCs w:val="28"/>
          <w:lang w:eastAsia="ja-JP"/>
        </w:rPr>
        <w:t xml:space="preserve"> полностью</w:t>
      </w:r>
      <w:r w:rsidRPr="00F71B49">
        <w:rPr>
          <w:rFonts w:eastAsia="MS Mincho"/>
          <w:sz w:val="28"/>
          <w:szCs w:val="28"/>
          <w:lang w:eastAsia="ja-JP"/>
        </w:rPr>
        <w:t xml:space="preserve"> устранить угрозу или защитить проект от ее воздействия. </w:t>
      </w:r>
    </w:p>
    <w:p w:rsidR="00F71B49" w:rsidRDefault="00F71B49" w:rsidP="00F71B4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71B49">
        <w:rPr>
          <w:rFonts w:eastAsia="MS Mincho"/>
          <w:b/>
          <w:sz w:val="28"/>
          <w:szCs w:val="28"/>
          <w:lang w:eastAsia="ja-JP"/>
        </w:rPr>
        <w:t>Передача</w:t>
      </w:r>
      <w:r w:rsidRPr="00F71B49">
        <w:rPr>
          <w:rFonts w:eastAsia="MS Mincho"/>
          <w:sz w:val="28"/>
          <w:szCs w:val="28"/>
          <w:lang w:eastAsia="ja-JP"/>
        </w:rPr>
        <w:t xml:space="preserve"> состоит в переходе владения угрозой к третьей стороне, которая берет на себя управление риском и несет последствия в случае реализации угрозы</w:t>
      </w:r>
      <w:r>
        <w:rPr>
          <w:rFonts w:eastAsia="MS Mincho"/>
          <w:sz w:val="28"/>
          <w:szCs w:val="28"/>
          <w:lang w:eastAsia="ja-JP"/>
        </w:rPr>
        <w:t xml:space="preserve"> (например, </w:t>
      </w:r>
      <w:r w:rsidRPr="00F71B49">
        <w:rPr>
          <w:rFonts w:eastAsia="MS Mincho"/>
          <w:sz w:val="28"/>
          <w:szCs w:val="28"/>
          <w:lang w:eastAsia="ja-JP"/>
        </w:rPr>
        <w:t>использование страхования</w:t>
      </w:r>
      <w:r>
        <w:rPr>
          <w:rFonts w:eastAsia="MS Mincho"/>
          <w:sz w:val="28"/>
          <w:szCs w:val="28"/>
          <w:lang w:eastAsia="ja-JP"/>
        </w:rPr>
        <w:t>)</w:t>
      </w:r>
      <w:r w:rsidRPr="00F71B49">
        <w:rPr>
          <w:rFonts w:eastAsia="MS Mincho"/>
          <w:sz w:val="28"/>
          <w:szCs w:val="28"/>
          <w:lang w:eastAsia="ja-JP"/>
        </w:rPr>
        <w:t>.</w:t>
      </w:r>
    </w:p>
    <w:p w:rsidR="00F71B49" w:rsidRDefault="00F71B49" w:rsidP="00F71B4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71B49">
        <w:rPr>
          <w:rFonts w:eastAsia="MS Mincho"/>
          <w:b/>
          <w:sz w:val="28"/>
          <w:szCs w:val="28"/>
          <w:lang w:eastAsia="ja-JP"/>
        </w:rPr>
        <w:t>Стратегия снижения</w:t>
      </w:r>
      <w:r w:rsidRPr="00F71B49">
        <w:rPr>
          <w:rFonts w:eastAsia="MS Mincho"/>
          <w:sz w:val="28"/>
          <w:szCs w:val="28"/>
          <w:lang w:eastAsia="ja-JP"/>
        </w:rPr>
        <w:t xml:space="preserve"> уровня риска предполагает меры по снижению вероятности наступления и/или воздействия угрозы.</w:t>
      </w:r>
    </w:p>
    <w:p w:rsidR="00F71B49" w:rsidRPr="00F71B49" w:rsidRDefault="00F71B49" w:rsidP="00F71B4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71B49">
        <w:rPr>
          <w:rFonts w:eastAsia="MS Mincho"/>
          <w:b/>
          <w:sz w:val="28"/>
          <w:szCs w:val="28"/>
          <w:lang w:eastAsia="ja-JP"/>
        </w:rPr>
        <w:t xml:space="preserve">Принятие </w:t>
      </w:r>
      <w:r w:rsidRPr="00F71B49">
        <w:rPr>
          <w:rFonts w:eastAsia="MS Mincho"/>
          <w:sz w:val="28"/>
          <w:szCs w:val="28"/>
          <w:lang w:eastAsia="ja-JP"/>
        </w:rPr>
        <w:t xml:space="preserve">риска означает осознание существования угрозы без принятия </w:t>
      </w:r>
      <w:r>
        <w:rPr>
          <w:rFonts w:eastAsia="MS Mincho"/>
          <w:sz w:val="28"/>
          <w:szCs w:val="28"/>
          <w:lang w:eastAsia="ja-JP"/>
        </w:rPr>
        <w:t>каких-либо</w:t>
      </w:r>
      <w:r w:rsidRPr="00F71B49">
        <w:rPr>
          <w:rFonts w:eastAsia="MS Mincho"/>
          <w:sz w:val="28"/>
          <w:szCs w:val="28"/>
          <w:lang w:eastAsia="ja-JP"/>
        </w:rPr>
        <w:t xml:space="preserve"> мер.</w:t>
      </w:r>
    </w:p>
    <w:p w:rsidR="004C32A2" w:rsidRPr="007D426D" w:rsidRDefault="00F71B4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C32A2">
        <w:rPr>
          <w:rFonts w:eastAsia="MS Mincho"/>
          <w:sz w:val="28"/>
          <w:szCs w:val="28"/>
          <w:lang w:eastAsia="ja-JP"/>
        </w:rPr>
        <w:t>Для каждого риска необходимо выбрать наиболее результативную стратегию или комбинацию стратегий.</w:t>
      </w:r>
    </w:p>
    <w:sectPr w:rsidR="004C32A2" w:rsidRPr="007D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3F6"/>
    <w:multiLevelType w:val="hybridMultilevel"/>
    <w:tmpl w:val="AFD4F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F009D5"/>
    <w:multiLevelType w:val="hybridMultilevel"/>
    <w:tmpl w:val="5AAAC8A0"/>
    <w:lvl w:ilvl="0" w:tplc="3794B9F4">
      <w:start w:val="1"/>
      <w:numFmt w:val="bullet"/>
      <w:lvlText w:val=""/>
      <w:lvlJc w:val="left"/>
      <w:pPr>
        <w:tabs>
          <w:tab w:val="num" w:pos="1647"/>
        </w:tabs>
        <w:ind w:left="236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5E1337"/>
    <w:multiLevelType w:val="hybridMultilevel"/>
    <w:tmpl w:val="AFD4F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6"/>
    <w:rsid w:val="0010417F"/>
    <w:rsid w:val="00114548"/>
    <w:rsid w:val="00286EF8"/>
    <w:rsid w:val="00306332"/>
    <w:rsid w:val="004C32A2"/>
    <w:rsid w:val="0051040C"/>
    <w:rsid w:val="007D426D"/>
    <w:rsid w:val="007F260E"/>
    <w:rsid w:val="00826626"/>
    <w:rsid w:val="00925531"/>
    <w:rsid w:val="00A73D87"/>
    <w:rsid w:val="00BA4C5A"/>
    <w:rsid w:val="00C66437"/>
    <w:rsid w:val="00F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26626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26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626"/>
    <w:pPr>
      <w:ind w:left="720"/>
      <w:contextualSpacing/>
    </w:pPr>
  </w:style>
  <w:style w:type="paragraph" w:customStyle="1" w:styleId="formtext">
    <w:name w:val="form text"/>
    <w:basedOn w:val="a"/>
    <w:rsid w:val="00925531"/>
    <w:pPr>
      <w:autoSpaceDE w:val="0"/>
      <w:autoSpaceDN w:val="0"/>
      <w:spacing w:before="120"/>
    </w:pPr>
    <w:rPr>
      <w:b/>
      <w:bCs/>
      <w:i/>
      <w:iCs/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30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26626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26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626"/>
    <w:pPr>
      <w:ind w:left="720"/>
      <w:contextualSpacing/>
    </w:pPr>
  </w:style>
  <w:style w:type="paragraph" w:customStyle="1" w:styleId="formtext">
    <w:name w:val="form text"/>
    <w:basedOn w:val="a"/>
    <w:rsid w:val="00925531"/>
    <w:pPr>
      <w:autoSpaceDE w:val="0"/>
      <w:autoSpaceDN w:val="0"/>
      <w:spacing w:before="120"/>
    </w:pPr>
    <w:rPr>
      <w:b/>
      <w:bCs/>
      <w:i/>
      <w:iCs/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30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"Экономика транспорта"</dc:creator>
  <cp:lastModifiedBy>кафедра "Экономика транспорта"</cp:lastModifiedBy>
  <cp:revision>7</cp:revision>
  <dcterms:created xsi:type="dcterms:W3CDTF">2019-04-26T08:46:00Z</dcterms:created>
  <dcterms:modified xsi:type="dcterms:W3CDTF">2019-04-26T11:30:00Z</dcterms:modified>
</cp:coreProperties>
</file>