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17A04" w14:textId="6DB6FCBC" w:rsidR="00307382" w:rsidRPr="009436F9" w:rsidRDefault="00EA5F2D" w:rsidP="00EA5F2D">
      <w:pPr>
        <w:spacing w:after="0" w:line="240" w:lineRule="auto"/>
        <w:ind w:firstLine="709"/>
        <w:jc w:val="both"/>
        <w:rPr>
          <w:rFonts w:ascii="Times New Roman" w:eastAsia="Calibri" w:hAnsi="Times New Roman" w:cs="Times New Roman"/>
          <w:b/>
          <w:kern w:val="0"/>
          <w:sz w:val="24"/>
          <w:szCs w:val="24"/>
          <w14:ligatures w14:val="none"/>
        </w:rPr>
      </w:pPr>
      <w:bookmarkStart w:id="0" w:name="_Hlk135857816"/>
      <w:r w:rsidRPr="00EA5F2D">
        <w:rPr>
          <w:rFonts w:ascii="Times New Roman" w:eastAsia="Times New Roman" w:hAnsi="Times New Roman" w:cs="Times New Roman"/>
          <w:b/>
          <w:kern w:val="0"/>
          <w:sz w:val="24"/>
          <w:szCs w:val="24"/>
          <w:lang w:eastAsia="ru-RU"/>
          <w14:ligatures w14:val="none"/>
        </w:rPr>
        <w:t>Лекция 10</w:t>
      </w:r>
      <w:r w:rsidRPr="00EA5F2D">
        <w:rPr>
          <w:rFonts w:ascii="Times New Roman" w:eastAsia="Times New Roman" w:hAnsi="Times New Roman" w:cs="Times New Roman"/>
          <w:bCs/>
          <w:kern w:val="0"/>
          <w:sz w:val="24"/>
          <w:szCs w:val="24"/>
          <w:lang w:eastAsia="ru-RU"/>
          <w14:ligatures w14:val="none"/>
        </w:rPr>
        <w:t xml:space="preserve">. </w:t>
      </w:r>
      <w:r w:rsidRPr="009436F9">
        <w:rPr>
          <w:rFonts w:ascii="Times New Roman" w:eastAsia="Times New Roman" w:hAnsi="Times New Roman" w:cs="Times New Roman"/>
          <w:b/>
          <w:kern w:val="0"/>
          <w:sz w:val="24"/>
          <w:szCs w:val="24"/>
          <w:lang w:eastAsia="ru-RU"/>
          <w14:ligatures w14:val="none"/>
        </w:rPr>
        <w:t>Тема «</w:t>
      </w:r>
      <w:bookmarkStart w:id="1" w:name="_Hlk135851912"/>
      <w:r w:rsidRPr="009436F9">
        <w:rPr>
          <w:rFonts w:ascii="Times New Roman" w:eastAsia="Times New Roman" w:hAnsi="Times New Roman" w:cs="Times New Roman"/>
          <w:b/>
          <w:kern w:val="0"/>
          <w:sz w:val="24"/>
          <w:szCs w:val="24"/>
          <w:lang w:eastAsia="ru-RU"/>
          <w14:ligatures w14:val="none"/>
        </w:rPr>
        <w:t>П</w:t>
      </w:r>
      <w:r w:rsidRPr="009436F9">
        <w:rPr>
          <w:rFonts w:ascii="Times New Roman" w:eastAsia="Times New Roman" w:hAnsi="Times New Roman" w:cs="Times New Roman"/>
          <w:b/>
          <w:iCs/>
          <w:kern w:val="0"/>
          <w:sz w:val="24"/>
          <w:szCs w:val="24"/>
          <w:lang w:eastAsia="ru-RU"/>
          <w14:ligatures w14:val="none"/>
        </w:rPr>
        <w:t>рофессиональная этика</w:t>
      </w:r>
      <w:bookmarkEnd w:id="1"/>
      <w:r w:rsidRPr="009436F9">
        <w:rPr>
          <w:rFonts w:ascii="Times New Roman" w:eastAsia="Times New Roman" w:hAnsi="Times New Roman" w:cs="Times New Roman"/>
          <w:b/>
          <w:iCs/>
          <w:kern w:val="0"/>
          <w:sz w:val="24"/>
          <w:szCs w:val="24"/>
          <w:lang w:eastAsia="ru-RU"/>
          <w14:ligatures w14:val="none"/>
        </w:rPr>
        <w:t>, конфиденциальность информации, хранение и оперирование персональными личными данными лиц, оказавшихся в трудной жизненной ситуации</w:t>
      </w:r>
      <w:r w:rsidRPr="009436F9">
        <w:rPr>
          <w:rFonts w:ascii="Times New Roman" w:eastAsia="Calibri" w:hAnsi="Times New Roman" w:cs="Times New Roman"/>
          <w:b/>
          <w:kern w:val="0"/>
          <w:sz w:val="24"/>
          <w:szCs w:val="24"/>
          <w14:ligatures w14:val="none"/>
        </w:rPr>
        <w:t>»</w:t>
      </w:r>
    </w:p>
    <w:bookmarkEnd w:id="0"/>
    <w:p w14:paraId="552FA570" w14:textId="3F90CD30" w:rsidR="00EA5F2D" w:rsidRDefault="00EA5F2D" w:rsidP="00EA5F2D">
      <w:pPr>
        <w:spacing w:after="0" w:line="240" w:lineRule="auto"/>
        <w:ind w:firstLine="709"/>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Структура</w:t>
      </w:r>
    </w:p>
    <w:p w14:paraId="2B148B9C" w14:textId="324723EC" w:rsidR="00EA5F2D" w:rsidRDefault="00EA5F2D" w:rsidP="00EA5F2D">
      <w:pPr>
        <w:pStyle w:val="a3"/>
        <w:numPr>
          <w:ilvl w:val="0"/>
          <w:numId w:val="1"/>
        </w:numPr>
        <w:spacing w:after="0" w:line="240" w:lineRule="auto"/>
        <w:jc w:val="both"/>
        <w:rPr>
          <w:rFonts w:ascii="Times New Roman" w:hAnsi="Times New Roman" w:cs="Times New Roman"/>
          <w:sz w:val="24"/>
          <w:szCs w:val="24"/>
        </w:rPr>
      </w:pPr>
      <w:bookmarkStart w:id="2" w:name="_Hlk135857829"/>
      <w:r>
        <w:rPr>
          <w:rFonts w:ascii="Times New Roman" w:hAnsi="Times New Roman" w:cs="Times New Roman"/>
          <w:sz w:val="24"/>
          <w:szCs w:val="24"/>
        </w:rPr>
        <w:t>Политика конфиденциальности</w:t>
      </w:r>
    </w:p>
    <w:p w14:paraId="6274D55B" w14:textId="522E7758" w:rsidR="00EA5F2D" w:rsidRDefault="00EA5F2D" w:rsidP="00EA5F2D">
      <w:pPr>
        <w:pStyle w:val="a3"/>
        <w:numPr>
          <w:ilvl w:val="0"/>
          <w:numId w:val="1"/>
        </w:num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Конфиденциальность персональных данных</w:t>
      </w:r>
    </w:p>
    <w:p w14:paraId="68FC050C" w14:textId="58ED4FAD" w:rsidR="0075086D" w:rsidRDefault="0075086D" w:rsidP="00EA5F2D">
      <w:pPr>
        <w:pStyle w:val="a3"/>
        <w:numPr>
          <w:ilvl w:val="0"/>
          <w:numId w:val="1"/>
        </w:numPr>
        <w:spacing w:after="0" w:line="240" w:lineRule="auto"/>
        <w:jc w:val="both"/>
        <w:rPr>
          <w:rFonts w:ascii="Times New Roman" w:hAnsi="Times New Roman" w:cs="Times New Roman"/>
          <w:sz w:val="24"/>
          <w:szCs w:val="24"/>
        </w:rPr>
      </w:pPr>
      <w:r w:rsidRPr="0075086D">
        <w:rPr>
          <w:rFonts w:ascii="Times New Roman" w:hAnsi="Times New Roman" w:cs="Times New Roman"/>
          <w:sz w:val="24"/>
          <w:szCs w:val="24"/>
        </w:rPr>
        <w:t>Профессиональная этика</w:t>
      </w:r>
      <w:r>
        <w:rPr>
          <w:rFonts w:ascii="Times New Roman" w:hAnsi="Times New Roman" w:cs="Times New Roman"/>
          <w:sz w:val="24"/>
          <w:szCs w:val="24"/>
        </w:rPr>
        <w:t xml:space="preserve"> психолога</w:t>
      </w:r>
    </w:p>
    <w:bookmarkEnd w:id="2"/>
    <w:p w14:paraId="3DD8E237" w14:textId="77777777" w:rsidR="00EA5F2D" w:rsidRDefault="00EA5F2D" w:rsidP="00EA5F2D">
      <w:pPr>
        <w:spacing w:after="0" w:line="240" w:lineRule="auto"/>
        <w:jc w:val="both"/>
        <w:rPr>
          <w:rFonts w:ascii="Times New Roman" w:hAnsi="Times New Roman" w:cs="Times New Roman"/>
          <w:sz w:val="24"/>
          <w:szCs w:val="24"/>
        </w:rPr>
      </w:pPr>
    </w:p>
    <w:p w14:paraId="2429E16F"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Настоящая Политика разработана в соответствии с положениями </w:t>
      </w:r>
      <w:hyperlink r:id="rId5" w:history="1">
        <w:r w:rsidRPr="00EA5F2D">
          <w:rPr>
            <w:rStyle w:val="a4"/>
            <w:rFonts w:ascii="Times New Roman" w:hAnsi="Times New Roman" w:cs="Times New Roman"/>
            <w:sz w:val="24"/>
            <w:szCs w:val="24"/>
          </w:rPr>
          <w:t>Конституции</w:t>
        </w:r>
      </w:hyperlink>
      <w:r w:rsidRPr="00EA5F2D">
        <w:rPr>
          <w:rFonts w:ascii="Times New Roman" w:hAnsi="Times New Roman" w:cs="Times New Roman"/>
          <w:sz w:val="24"/>
          <w:szCs w:val="24"/>
        </w:rPr>
        <w:t> РФ, </w:t>
      </w:r>
      <w:hyperlink r:id="rId6" w:history="1">
        <w:r w:rsidRPr="00EA5F2D">
          <w:rPr>
            <w:rStyle w:val="a4"/>
            <w:rFonts w:ascii="Times New Roman" w:hAnsi="Times New Roman" w:cs="Times New Roman"/>
            <w:sz w:val="24"/>
            <w:szCs w:val="24"/>
          </w:rPr>
          <w:t>Трудового кодекса</w:t>
        </w:r>
      </w:hyperlink>
      <w:r w:rsidRPr="00EA5F2D">
        <w:rPr>
          <w:rFonts w:ascii="Times New Roman" w:hAnsi="Times New Roman" w:cs="Times New Roman"/>
          <w:sz w:val="24"/>
          <w:szCs w:val="24"/>
        </w:rPr>
        <w:t> РФ, </w:t>
      </w:r>
      <w:hyperlink r:id="rId7" w:history="1">
        <w:r w:rsidRPr="00EA5F2D">
          <w:rPr>
            <w:rStyle w:val="a4"/>
            <w:rFonts w:ascii="Times New Roman" w:hAnsi="Times New Roman" w:cs="Times New Roman"/>
            <w:sz w:val="24"/>
            <w:szCs w:val="24"/>
          </w:rPr>
          <w:t>ФЗ</w:t>
        </w:r>
      </w:hyperlink>
      <w:r w:rsidRPr="00EA5F2D">
        <w:rPr>
          <w:rFonts w:ascii="Times New Roman" w:hAnsi="Times New Roman" w:cs="Times New Roman"/>
          <w:sz w:val="24"/>
          <w:szCs w:val="24"/>
        </w:rPr>
        <w:t> «О персональных данных», </w:t>
      </w:r>
      <w:hyperlink r:id="rId8" w:history="1">
        <w:r w:rsidRPr="00EA5F2D">
          <w:rPr>
            <w:rStyle w:val="a4"/>
            <w:rFonts w:ascii="Times New Roman" w:hAnsi="Times New Roman" w:cs="Times New Roman"/>
            <w:sz w:val="24"/>
            <w:szCs w:val="24"/>
          </w:rPr>
          <w:t>ФЗ</w:t>
        </w:r>
      </w:hyperlink>
      <w:r w:rsidRPr="00EA5F2D">
        <w:rPr>
          <w:rFonts w:ascii="Times New Roman" w:hAnsi="Times New Roman" w:cs="Times New Roman"/>
          <w:sz w:val="24"/>
          <w:szCs w:val="24"/>
        </w:rPr>
        <w:t> «Об информации, информационных технологиях и о защите информации» и иных нормативно-правовых актов, регулирующих вопросы защиты персональных данных.</w:t>
      </w:r>
    </w:p>
    <w:p w14:paraId="75BA1558"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 xml:space="preserve">1.2. Настоящая Политика определяет основные вопросы, связанные с обработкой персональных данных БЛАГОТВОРИТЕЛЬНОГО </w:t>
      </w:r>
      <w:proofErr w:type="gramStart"/>
      <w:r w:rsidRPr="00EA5F2D">
        <w:rPr>
          <w:rFonts w:ascii="Times New Roman" w:hAnsi="Times New Roman" w:cs="Times New Roman"/>
          <w:sz w:val="24"/>
          <w:szCs w:val="24"/>
        </w:rPr>
        <w:t>ФОНДА  ПОМОЩИ</w:t>
      </w:r>
      <w:proofErr w:type="gramEnd"/>
      <w:r w:rsidRPr="00EA5F2D">
        <w:rPr>
          <w:rFonts w:ascii="Times New Roman" w:hAnsi="Times New Roman" w:cs="Times New Roman"/>
          <w:sz w:val="24"/>
          <w:szCs w:val="24"/>
        </w:rPr>
        <w:t>, ПОДДЕРЖКИ И ЗАЩИТЫ ДЕТЕЙ И СЕМЬИ «ДРУГОЕ ДЕТСТВО (далее — Фонд) с использованием средств автоматизации, в том числе в информационно-телекоммуникационных сетях, или без использования таких средств.</w:t>
      </w:r>
    </w:p>
    <w:p w14:paraId="40557D41" w14:textId="77777777" w:rsidR="00EA5F2D" w:rsidRDefault="00EA5F2D" w:rsidP="00EA5F2D">
      <w:pPr>
        <w:spacing w:after="0" w:line="240" w:lineRule="auto"/>
        <w:jc w:val="both"/>
        <w:rPr>
          <w:rFonts w:ascii="Times New Roman" w:hAnsi="Times New Roman" w:cs="Times New Roman"/>
          <w:sz w:val="24"/>
          <w:szCs w:val="24"/>
        </w:rPr>
      </w:pPr>
    </w:p>
    <w:p w14:paraId="2E143E00" w14:textId="7B42B04A" w:rsid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Настоящая Политика (далее - «Политика») разработана Благотворительным Фондом социальной поддержки и защиты прав детей, находящихся в трудной жизненной ситуации</w:t>
      </w:r>
      <w:r>
        <w:rPr>
          <w:rFonts w:ascii="Times New Roman" w:hAnsi="Times New Roman" w:cs="Times New Roman"/>
          <w:sz w:val="24"/>
          <w:szCs w:val="24"/>
        </w:rPr>
        <w:t>.</w:t>
      </w:r>
    </w:p>
    <w:p w14:paraId="587D0FD2" w14:textId="77777777" w:rsidR="00EA5F2D" w:rsidRPr="00EA5F2D" w:rsidRDefault="00EA5F2D" w:rsidP="00EA5F2D">
      <w:pPr>
        <w:numPr>
          <w:ilvl w:val="0"/>
          <w:numId w:val="2"/>
        </w:num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В Политике используются следующие термины:</w:t>
      </w:r>
    </w:p>
    <w:p w14:paraId="50D4E1D3"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персональные данные</w:t>
      </w:r>
      <w:r w:rsidRPr="00EA5F2D">
        <w:rPr>
          <w:rFonts w:ascii="Times New Roman" w:hAnsi="Times New Roman" w:cs="Times New Roman"/>
          <w:sz w:val="24"/>
          <w:szCs w:val="24"/>
        </w:rPr>
        <w:t> – любая информация, относящаяся к прямо или косвенно определенному или определяемому физическому лицу (субъекту персональных данных);</w:t>
      </w:r>
    </w:p>
    <w:p w14:paraId="11E84322"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оператор</w:t>
      </w:r>
      <w:r w:rsidRPr="00EA5F2D">
        <w:rPr>
          <w:rFonts w:ascii="Times New Roman" w:hAnsi="Times New Roman" w:cs="Times New Roman"/>
          <w:sz w:val="24"/>
          <w:szCs w:val="24"/>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6641CE9"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автоматизированная обработка персональных данных</w:t>
      </w:r>
      <w:r w:rsidRPr="00EA5F2D">
        <w:rPr>
          <w:rFonts w:ascii="Times New Roman" w:hAnsi="Times New Roman" w:cs="Times New Roman"/>
          <w:sz w:val="24"/>
          <w:szCs w:val="24"/>
        </w:rPr>
        <w:t> – обработка персональных данных с помощью средств вычислительной техники;</w:t>
      </w:r>
    </w:p>
    <w:p w14:paraId="19B5DAE8"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база персональных данных</w:t>
      </w:r>
      <w:r w:rsidRPr="00EA5F2D">
        <w:rPr>
          <w:rFonts w:ascii="Times New Roman" w:hAnsi="Times New Roman" w:cs="Times New Roman"/>
          <w:sz w:val="24"/>
          <w:szCs w:val="24"/>
        </w:rPr>
        <w:t> – упорядоченный массив персональных данных, независимый от вида материального носителя информации и используемых средств его обработки (архивы, картотеки, электронные базы данных);</w:t>
      </w:r>
    </w:p>
    <w:p w14:paraId="709BBBF6"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персональные данные, разрешенные субъектом персональных данных для распространения</w:t>
      </w:r>
      <w:r w:rsidRPr="00EA5F2D">
        <w:rPr>
          <w:rFonts w:ascii="Times New Roman" w:hAnsi="Times New Roman" w:cs="Times New Roman"/>
          <w:sz w:val="24"/>
          <w:szCs w:val="24"/>
        </w:rPr>
        <w:t>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законодательством;</w:t>
      </w:r>
    </w:p>
    <w:p w14:paraId="2186C9B9"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доступ к персональным данным</w:t>
      </w:r>
      <w:r w:rsidRPr="00EA5F2D">
        <w:rPr>
          <w:rFonts w:ascii="Times New Roman" w:hAnsi="Times New Roman" w:cs="Times New Roman"/>
          <w:sz w:val="24"/>
          <w:szCs w:val="24"/>
        </w:rPr>
        <w:t> – ознакомление определенных лиц (в том числе работников) с персональными данными субъектов, обрабатываемыми Фондом, при условии сохранения конфиденциальности этих сведений;</w:t>
      </w:r>
    </w:p>
    <w:p w14:paraId="4AF593B3"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информационная система персональных данных</w:t>
      </w:r>
      <w:r w:rsidRPr="00EA5F2D">
        <w:rPr>
          <w:rFonts w:ascii="Times New Roman" w:hAnsi="Times New Roman" w:cs="Times New Roman"/>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 -контрагент – сторона договора с Фондом, не являющаяся работником Фонда;</w:t>
      </w:r>
    </w:p>
    <w:p w14:paraId="4A301D88"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конфиденциальность персональных данных</w:t>
      </w:r>
      <w:r w:rsidRPr="00EA5F2D">
        <w:rPr>
          <w:rFonts w:ascii="Times New Roman" w:hAnsi="Times New Roman" w:cs="Times New Roman"/>
          <w:sz w:val="24"/>
          <w:szCs w:val="24"/>
        </w:rPr>
        <w:t> – обязанность лиц, получивших доступ к персональным данным, не раскрывать их третьим лицам и не распространять персональные данные без согласия субъекта персональных данных, если иное не предусмотрено законодательством;</w:t>
      </w:r>
    </w:p>
    <w:p w14:paraId="32E9CCA3"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сайт (сервисы) Фонда</w:t>
      </w:r>
      <w:r w:rsidRPr="00EA5F2D">
        <w:rPr>
          <w:rFonts w:ascii="Times New Roman" w:hAnsi="Times New Roman" w:cs="Times New Roman"/>
          <w:sz w:val="24"/>
          <w:szCs w:val="24"/>
        </w:rPr>
        <w:t> – сайт Фонда в информационно-телекоммуникационной сети «Интернет» (тут должна быть ссылка на сайт);</w:t>
      </w:r>
    </w:p>
    <w:p w14:paraId="4E5C6813"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lastRenderedPageBreak/>
        <w:t>обезличивание персональных данных</w:t>
      </w:r>
      <w:r w:rsidRPr="00EA5F2D">
        <w:rPr>
          <w:rFonts w:ascii="Times New Roman" w:hAnsi="Times New Roman" w:cs="Times New Roman"/>
          <w:sz w:val="24"/>
          <w:szCs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A117918"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обработка персональных данных</w:t>
      </w:r>
      <w:r w:rsidRPr="00EA5F2D">
        <w:rPr>
          <w:rFonts w:ascii="Times New Roman" w:hAnsi="Times New Roman" w:cs="Times New Roman"/>
          <w:sz w:val="24"/>
          <w:szCs w:val="24"/>
        </w:rPr>
        <w:t>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5F5F8B"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распространение персональных данных</w:t>
      </w:r>
      <w:r w:rsidRPr="00EA5F2D">
        <w:rPr>
          <w:rFonts w:ascii="Times New Roman" w:hAnsi="Times New Roman" w:cs="Times New Roman"/>
          <w:sz w:val="24"/>
          <w:szCs w:val="24"/>
        </w:rPr>
        <w:t> – действия, направленные на раскрытие персональных данных неопределенному кругу лиц;</w:t>
      </w:r>
    </w:p>
    <w:p w14:paraId="34E11876"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предоставление персональных данных</w:t>
      </w:r>
      <w:r w:rsidRPr="00EA5F2D">
        <w:rPr>
          <w:rFonts w:ascii="Times New Roman" w:hAnsi="Times New Roman" w:cs="Times New Roman"/>
          <w:sz w:val="24"/>
          <w:szCs w:val="24"/>
        </w:rPr>
        <w:t> – действия, направленные на раскрытие персональных данных определенному лицу или определенному кругу лиц;</w:t>
      </w:r>
    </w:p>
    <w:p w14:paraId="3A742CDA"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субъект персональных данных</w:t>
      </w:r>
      <w:r w:rsidRPr="00EA5F2D">
        <w:rPr>
          <w:rFonts w:ascii="Times New Roman" w:hAnsi="Times New Roman" w:cs="Times New Roman"/>
          <w:sz w:val="24"/>
          <w:szCs w:val="24"/>
        </w:rPr>
        <w:t> – физическое лицо, пользователь сайта, сервисов, проектов Фонда, к которому относятся персональные данные;</w:t>
      </w:r>
    </w:p>
    <w:p w14:paraId="15E973B3"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трансграничная передача персональных данных</w:t>
      </w:r>
      <w:r w:rsidRPr="00EA5F2D">
        <w:rPr>
          <w:rFonts w:ascii="Times New Roman" w:hAnsi="Times New Roman" w:cs="Times New Roman"/>
          <w:sz w:val="24"/>
          <w:szCs w:val="24"/>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38085EF6"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блокирование персональных данных</w:t>
      </w:r>
      <w:r w:rsidRPr="00EA5F2D">
        <w:rPr>
          <w:rFonts w:ascii="Times New Roman" w:hAnsi="Times New Roman" w:cs="Times New Roman"/>
          <w:sz w:val="24"/>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342FE167" w14:textId="77777777" w:rsidR="00EA5F2D" w:rsidRPr="00EA5F2D" w:rsidRDefault="00EA5F2D" w:rsidP="00EA5F2D">
      <w:pPr>
        <w:numPr>
          <w:ilvl w:val="1"/>
          <w:numId w:val="2"/>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b/>
          <w:bCs/>
          <w:sz w:val="24"/>
          <w:szCs w:val="24"/>
        </w:rPr>
        <w:t>уничтожение персональных данных</w:t>
      </w:r>
      <w:r w:rsidRPr="00EA5F2D">
        <w:rPr>
          <w:rFonts w:ascii="Times New Roman" w:hAnsi="Times New Roman" w:cs="Times New Roman"/>
          <w:sz w:val="24"/>
          <w:szCs w:val="24"/>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2E3FF1A4" w14:textId="77777777" w:rsidR="00EA5F2D" w:rsidRPr="00EA5F2D" w:rsidRDefault="00EA5F2D" w:rsidP="00EA5F2D">
      <w:pPr>
        <w:spacing w:after="0" w:line="240" w:lineRule="auto"/>
        <w:jc w:val="both"/>
        <w:rPr>
          <w:rFonts w:ascii="Times New Roman" w:hAnsi="Times New Roman" w:cs="Times New Roman"/>
          <w:b/>
          <w:bCs/>
          <w:sz w:val="24"/>
          <w:szCs w:val="24"/>
        </w:rPr>
      </w:pPr>
      <w:r w:rsidRPr="00EA5F2D">
        <w:rPr>
          <w:rFonts w:ascii="Times New Roman" w:hAnsi="Times New Roman" w:cs="Times New Roman"/>
          <w:b/>
          <w:bCs/>
          <w:sz w:val="24"/>
          <w:szCs w:val="24"/>
        </w:rPr>
        <w:t>Цели обработки персональных данных</w:t>
      </w:r>
    </w:p>
    <w:p w14:paraId="6625EBCE"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 Целями обработки персональных данных являются:</w:t>
      </w:r>
    </w:p>
    <w:p w14:paraId="00B98136"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4.1.1. Обеспечение соблюдения Конституции Российской Федерации, и иных нормативно правовых актов Российской Федерации;</w:t>
      </w:r>
    </w:p>
    <w:p w14:paraId="4B72C01A"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4.1.2. Поддержка и защита детей (в том числе детей с ограниченными возможностями здоровья, детей с особенностями в развитии, детей сирот, детей, лишенных родительской опеки, беспризорных детей, детей из малообеспеченных семей, детей групп риска, детей, оказавшихся в трудной жизненной ситуации), а также семей (членов семей, родителей, усыновителей, опекунов, попечителей, законных представителей);</w:t>
      </w:r>
    </w:p>
    <w:p w14:paraId="1F7FDACB"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4.1.3. Оказание и содействие оказанию всесторонней помощи детям (в том числе детям с ограниченными возможностями здоровья, детям с особенностями в развитии, детям  сиротам, детям, лишенным родительской опеки, беспризорным детям, детям из малообеспеченных семей, детям групп риска, детям, оказавшимся в трудной жизненной ситуации), а также семьям (членам семей, родителям, усыновителям, опекунам, попечителям, законным представителям).</w:t>
      </w:r>
    </w:p>
    <w:p w14:paraId="25436E2A"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4.1.4. Исполнение обязанностей Фонда как работодателя, предусмотренных законодательством Российской Федерации;</w:t>
      </w:r>
    </w:p>
    <w:p w14:paraId="6473C236"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4.1.5. Осуществление прав и законных интересов Фонда;</w:t>
      </w:r>
    </w:p>
    <w:p w14:paraId="20C8573D"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4.1.6. Осуществление деятельности, предусмотренной Уставом Фонда;</w:t>
      </w:r>
    </w:p>
    <w:p w14:paraId="51CCAF1F" w14:textId="40B06FED"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4.1.7. Предоставление отчетности Фондом в соответствии с законодательством Российской Федерации о деятельности некоммерческих организаций.</w:t>
      </w:r>
    </w:p>
    <w:p w14:paraId="719E5C12" w14:textId="77777777" w:rsidR="00EA5F2D" w:rsidRDefault="00EA5F2D" w:rsidP="00EA5F2D">
      <w:pPr>
        <w:spacing w:after="0" w:line="240" w:lineRule="auto"/>
        <w:jc w:val="both"/>
        <w:rPr>
          <w:rFonts w:ascii="Times New Roman" w:hAnsi="Times New Roman" w:cs="Times New Roman"/>
          <w:b/>
          <w:bCs/>
          <w:sz w:val="24"/>
          <w:szCs w:val="24"/>
        </w:rPr>
      </w:pPr>
    </w:p>
    <w:p w14:paraId="310B621C" w14:textId="34671506" w:rsidR="00EA5F2D" w:rsidRPr="00EA5F2D" w:rsidRDefault="00EA5F2D" w:rsidP="00EA5F2D">
      <w:pPr>
        <w:spacing w:after="0" w:line="240" w:lineRule="auto"/>
        <w:jc w:val="both"/>
        <w:rPr>
          <w:rFonts w:ascii="Times New Roman" w:hAnsi="Times New Roman" w:cs="Times New Roman"/>
          <w:b/>
          <w:bCs/>
          <w:sz w:val="24"/>
          <w:szCs w:val="24"/>
        </w:rPr>
      </w:pPr>
      <w:r w:rsidRPr="00EA5F2D">
        <w:rPr>
          <w:rFonts w:ascii="Times New Roman" w:hAnsi="Times New Roman" w:cs="Times New Roman"/>
          <w:b/>
          <w:bCs/>
          <w:sz w:val="24"/>
          <w:szCs w:val="24"/>
        </w:rPr>
        <w:t>Принципы и цели обработки персональных данных</w:t>
      </w:r>
    </w:p>
    <w:p w14:paraId="6BA0D5CA" w14:textId="77777777" w:rsidR="00EA5F2D" w:rsidRPr="00EA5F2D" w:rsidRDefault="00EA5F2D" w:rsidP="00EA5F2D">
      <w:pPr>
        <w:spacing w:after="0" w:line="240" w:lineRule="auto"/>
        <w:jc w:val="both"/>
        <w:rPr>
          <w:rFonts w:ascii="Times New Roman" w:hAnsi="Times New Roman" w:cs="Times New Roman"/>
          <w:sz w:val="24"/>
          <w:szCs w:val="24"/>
        </w:rPr>
      </w:pPr>
      <w:r w:rsidRPr="00EA5F2D">
        <w:rPr>
          <w:rFonts w:ascii="Times New Roman" w:hAnsi="Times New Roman" w:cs="Times New Roman"/>
          <w:sz w:val="24"/>
          <w:szCs w:val="24"/>
        </w:rPr>
        <w:t>Обработка персональных данных Фондом осуществляется в соответствии со следующими принципами:</w:t>
      </w:r>
    </w:p>
    <w:p w14:paraId="14368804"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lastRenderedPageBreak/>
        <w:t>Законность и справедливая основа обработки персональных данных. Фонд принимает все необходимые меры по выполнению требований законодательства, не обрабатывает персональные данные в случаях, когда это не допускается законодательством и не требуется для достижения определенных Фондом целей, не использует персональные данные во вред субъектам таких данных.</w:t>
      </w:r>
    </w:p>
    <w:p w14:paraId="0B0CCF02"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Ограничение обработки персональных данных достижением конкретных, заранее определенных и законных целей. Целями обработки персональных данных являются:</w:t>
      </w:r>
    </w:p>
    <w:p w14:paraId="056E3322" w14:textId="77777777" w:rsidR="00EA5F2D" w:rsidRPr="00EA5F2D" w:rsidRDefault="00EA5F2D" w:rsidP="00EA5F2D">
      <w:pPr>
        <w:numPr>
          <w:ilvl w:val="1"/>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осуществления Фондом деятельности, предусмотренной Уставом;</w:t>
      </w:r>
    </w:p>
    <w:p w14:paraId="6FAC43B0" w14:textId="77777777" w:rsidR="00EA5F2D" w:rsidRPr="00EA5F2D" w:rsidRDefault="00EA5F2D" w:rsidP="00EA5F2D">
      <w:pPr>
        <w:numPr>
          <w:ilvl w:val="1"/>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при совершении пожертвования на сайте Фонда - реализация уставных целей Фонда, в том числе путем осуществления благотворительной деятельности; получение Фондом пожертвований в денежной и натуральной форме, в том числе заключение и исполнение договоров пожертвования; выполнение требований федерального законодательства по раскрытию информации о деятельности благотворительной организации, размещение информации о деятельности Фонда в общедоступных источниках, в том числе на Сайте;</w:t>
      </w:r>
    </w:p>
    <w:p w14:paraId="3EADBAD0" w14:textId="77777777" w:rsidR="00EA5F2D" w:rsidRPr="00EA5F2D" w:rsidRDefault="00EA5F2D" w:rsidP="00EA5F2D">
      <w:pPr>
        <w:numPr>
          <w:ilvl w:val="1"/>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в случаях использования сервисов Фонда - предоставление информации о функциях того или иного сервиса, направление уведомлений, материалов, предложений, связь с Субъектом персональных данных;</w:t>
      </w:r>
    </w:p>
    <w:p w14:paraId="29E48B6A" w14:textId="77777777" w:rsidR="00EA5F2D" w:rsidRPr="00EA5F2D" w:rsidRDefault="00EA5F2D" w:rsidP="00EA5F2D">
      <w:pPr>
        <w:numPr>
          <w:ilvl w:val="1"/>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для проведения статистических и иных исследований на основе обезличенных персональных данных.</w:t>
      </w:r>
    </w:p>
    <w:p w14:paraId="3FC530C8"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Обработка только тех персональных данных, которые отвечают заранее объявленным целям их обработки; соответствие содержания и объёма обрабатываемых персональных данных заявленным целям обработки; недопущение обработки персональных данных, несовместимой с целями сбора персональных данных, а также избыточных по отношению к заявленным целям обработки персональных данных. Фонд не собирает и не обрабатывает персональные данные, не требующиеся для достижения целей, указанных в пункте.</w:t>
      </w:r>
    </w:p>
    <w:p w14:paraId="0AED493E"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Недопущение объединения баз данных, содержащих персональные данные, обработка которых осуществляется в целях, несовместимых между собой.</w:t>
      </w:r>
    </w:p>
    <w:p w14:paraId="4C1F882B"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Обеспечение точности, достаточности и актуальности персональных данных по отношению к целям обработки персональных данных. Фонд принимает все разумные меры по поддержке актуальности обрабатываемых персональных данных, включая (без ограничения) реализацию права каждого субъекта получать для ознакомления свои персональные данные и требовать от Фонда их уточнения,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заявленных выше целей обработки без объяснения причин такого требования.</w:t>
      </w:r>
    </w:p>
    <w:p w14:paraId="70B7BFBF"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законодательством, договором, стороной которого является субъект персональных данных, а также согласием субъекта персональных данных на обработку данных.</w:t>
      </w:r>
    </w:p>
    <w:p w14:paraId="5443F254"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Уничтожение или обезличивание персональных данных по достижении заявленных целей их обработки или в случае утраты необходимости в достижении этих целей, при невозможности устранения Фондом допущенных нарушений установленного законодательством порядка обработки персональных данных, отзыве согласия на обработку субъектом персональных данных, истечении срока обработки персональных данных, установленных согласием на обработку персональных данных, если иное не предусмотрено законодательством или договорами с субъектами персональных данных.</w:t>
      </w:r>
    </w:p>
    <w:p w14:paraId="4DB468BE" w14:textId="77777777" w:rsidR="00EA5F2D" w:rsidRPr="00EA5F2D" w:rsidRDefault="00EA5F2D" w:rsidP="00EA5F2D">
      <w:pPr>
        <w:numPr>
          <w:ilvl w:val="0"/>
          <w:numId w:val="3"/>
        </w:numPr>
        <w:spacing w:after="0" w:line="240" w:lineRule="auto"/>
        <w:ind w:left="0" w:firstLine="0"/>
        <w:jc w:val="both"/>
        <w:rPr>
          <w:rFonts w:ascii="Times New Roman" w:hAnsi="Times New Roman" w:cs="Times New Roman"/>
          <w:sz w:val="24"/>
          <w:szCs w:val="24"/>
        </w:rPr>
      </w:pPr>
      <w:r w:rsidRPr="00EA5F2D">
        <w:rPr>
          <w:rFonts w:ascii="Times New Roman" w:hAnsi="Times New Roman" w:cs="Times New Roman"/>
          <w:sz w:val="24"/>
          <w:szCs w:val="24"/>
        </w:rPr>
        <w:t>Для целей указанных в п. 2.3. Политики Фонд осуществляет обработку следующих данных:</w:t>
      </w:r>
    </w:p>
    <w:tbl>
      <w:tblPr>
        <w:tblW w:w="11250" w:type="dxa"/>
        <w:tblInd w:w="720" w:type="dxa"/>
        <w:tblCellMar>
          <w:top w:w="15" w:type="dxa"/>
          <w:left w:w="15" w:type="dxa"/>
          <w:bottom w:w="15" w:type="dxa"/>
          <w:right w:w="15" w:type="dxa"/>
        </w:tblCellMar>
        <w:tblLook w:val="04A0" w:firstRow="1" w:lastRow="0" w:firstColumn="1" w:lastColumn="0" w:noHBand="0" w:noVBand="1"/>
      </w:tblPr>
      <w:tblGrid>
        <w:gridCol w:w="6132"/>
        <w:gridCol w:w="5118"/>
      </w:tblGrid>
      <w:tr w:rsidR="00EA5F2D" w:rsidRPr="00EA5F2D" w14:paraId="77873E4E" w14:textId="77777777" w:rsidTr="00EA5F2D">
        <w:trPr>
          <w:tblHeader/>
        </w:trPr>
        <w:tc>
          <w:tcPr>
            <w:tcW w:w="0" w:type="auto"/>
            <w:tcBorders>
              <w:bottom w:val="single" w:sz="6" w:space="0" w:color="FAFBFC"/>
            </w:tcBorders>
            <w:tcMar>
              <w:top w:w="240" w:type="dxa"/>
              <w:left w:w="240" w:type="dxa"/>
              <w:bottom w:w="240" w:type="dxa"/>
              <w:right w:w="240" w:type="dxa"/>
            </w:tcMar>
            <w:vAlign w:val="center"/>
            <w:hideMark/>
          </w:tcPr>
          <w:p w14:paraId="1D230DE7"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lastRenderedPageBreak/>
              <w:t>Виды данных</w:t>
            </w:r>
          </w:p>
        </w:tc>
        <w:tc>
          <w:tcPr>
            <w:tcW w:w="0" w:type="auto"/>
            <w:tcBorders>
              <w:bottom w:val="single" w:sz="6" w:space="0" w:color="FAFBFC"/>
            </w:tcBorders>
            <w:tcMar>
              <w:top w:w="240" w:type="dxa"/>
              <w:left w:w="240" w:type="dxa"/>
              <w:bottom w:w="240" w:type="dxa"/>
              <w:right w:w="240" w:type="dxa"/>
            </w:tcMar>
            <w:vAlign w:val="center"/>
            <w:hideMark/>
          </w:tcPr>
          <w:p w14:paraId="64D91854"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Цели обработки</w:t>
            </w:r>
          </w:p>
        </w:tc>
      </w:tr>
      <w:tr w:rsidR="00EA5F2D" w:rsidRPr="00EA5F2D" w14:paraId="10B3C8A9" w14:textId="77777777" w:rsidTr="00EA5F2D">
        <w:tc>
          <w:tcPr>
            <w:tcW w:w="0" w:type="auto"/>
            <w:tcBorders>
              <w:bottom w:val="single" w:sz="6" w:space="0" w:color="FAFBFC"/>
            </w:tcBorders>
            <w:tcMar>
              <w:top w:w="240" w:type="dxa"/>
              <w:left w:w="240" w:type="dxa"/>
              <w:bottom w:w="240" w:type="dxa"/>
              <w:right w:w="240" w:type="dxa"/>
            </w:tcMar>
            <w:vAlign w:val="center"/>
            <w:hideMark/>
          </w:tcPr>
          <w:p w14:paraId="1A6E36D7"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 xml:space="preserve">имя, фамилия, отчество, </w:t>
            </w:r>
            <w:proofErr w:type="spellStart"/>
            <w:r w:rsidRPr="00EA5F2D">
              <w:rPr>
                <w:rFonts w:ascii="Times New Roman" w:hAnsi="Times New Roman" w:cs="Times New Roman"/>
                <w:sz w:val="24"/>
                <w:szCs w:val="24"/>
              </w:rPr>
              <w:t>e-mail</w:t>
            </w:r>
            <w:proofErr w:type="spellEnd"/>
            <w:r w:rsidRPr="00EA5F2D">
              <w:rPr>
                <w:rFonts w:ascii="Times New Roman" w:hAnsi="Times New Roman" w:cs="Times New Roman"/>
                <w:sz w:val="24"/>
                <w:szCs w:val="24"/>
              </w:rPr>
              <w:t>, телефон, данные банковской карты, IP (местонахождение), пол, адрес, возраст</w:t>
            </w:r>
          </w:p>
        </w:tc>
        <w:tc>
          <w:tcPr>
            <w:tcW w:w="0" w:type="auto"/>
            <w:tcBorders>
              <w:bottom w:val="single" w:sz="6" w:space="0" w:color="FAFBFC"/>
            </w:tcBorders>
            <w:tcMar>
              <w:top w:w="240" w:type="dxa"/>
              <w:left w:w="240" w:type="dxa"/>
              <w:bottom w:w="240" w:type="dxa"/>
              <w:right w:w="240" w:type="dxa"/>
            </w:tcMar>
            <w:vAlign w:val="center"/>
            <w:hideMark/>
          </w:tcPr>
          <w:p w14:paraId="113A9D5E"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совершение пожертвований на сайте (сервисах) Фонда</w:t>
            </w:r>
          </w:p>
        </w:tc>
      </w:tr>
      <w:tr w:rsidR="00EA5F2D" w:rsidRPr="00EA5F2D" w14:paraId="0977ADC3" w14:textId="77777777" w:rsidTr="00EA5F2D">
        <w:tc>
          <w:tcPr>
            <w:tcW w:w="0" w:type="auto"/>
            <w:tcBorders>
              <w:bottom w:val="single" w:sz="6" w:space="0" w:color="FAFBFC"/>
            </w:tcBorders>
            <w:tcMar>
              <w:top w:w="240" w:type="dxa"/>
              <w:left w:w="240" w:type="dxa"/>
              <w:bottom w:w="240" w:type="dxa"/>
              <w:right w:w="240" w:type="dxa"/>
            </w:tcMar>
            <w:vAlign w:val="center"/>
            <w:hideMark/>
          </w:tcPr>
          <w:p w14:paraId="5C25C6FF"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 xml:space="preserve">имя, фамилия, отчество, </w:t>
            </w:r>
            <w:proofErr w:type="spellStart"/>
            <w:r w:rsidRPr="00EA5F2D">
              <w:rPr>
                <w:rFonts w:ascii="Times New Roman" w:hAnsi="Times New Roman" w:cs="Times New Roman"/>
                <w:sz w:val="24"/>
                <w:szCs w:val="24"/>
              </w:rPr>
              <w:t>e-mail</w:t>
            </w:r>
            <w:proofErr w:type="spellEnd"/>
            <w:r w:rsidRPr="00EA5F2D">
              <w:rPr>
                <w:rFonts w:ascii="Times New Roman" w:hAnsi="Times New Roman" w:cs="Times New Roman"/>
                <w:sz w:val="24"/>
                <w:szCs w:val="24"/>
              </w:rPr>
              <w:t>, номер телефона, адрес, данные банковских карт, ссылки на социальные сети, фотография, пол, возраст (дата рождения)</w:t>
            </w:r>
          </w:p>
        </w:tc>
        <w:tc>
          <w:tcPr>
            <w:tcW w:w="0" w:type="auto"/>
            <w:tcBorders>
              <w:bottom w:val="single" w:sz="6" w:space="0" w:color="FAFBFC"/>
            </w:tcBorders>
            <w:tcMar>
              <w:top w:w="240" w:type="dxa"/>
              <w:left w:w="240" w:type="dxa"/>
              <w:bottom w:w="240" w:type="dxa"/>
              <w:right w:w="240" w:type="dxa"/>
            </w:tcMar>
            <w:vAlign w:val="center"/>
            <w:hideMark/>
          </w:tcPr>
          <w:p w14:paraId="3050090B"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создание Личного кабинета на Сайте (сервисах) Фонда</w:t>
            </w:r>
          </w:p>
        </w:tc>
      </w:tr>
      <w:tr w:rsidR="00EA5F2D" w:rsidRPr="00EA5F2D" w14:paraId="63DCC553" w14:textId="77777777" w:rsidTr="00EA5F2D">
        <w:tc>
          <w:tcPr>
            <w:tcW w:w="0" w:type="auto"/>
            <w:tcBorders>
              <w:bottom w:val="single" w:sz="6" w:space="0" w:color="FAFBFC"/>
            </w:tcBorders>
            <w:tcMar>
              <w:top w:w="240" w:type="dxa"/>
              <w:left w:w="240" w:type="dxa"/>
              <w:bottom w:w="240" w:type="dxa"/>
              <w:right w:w="240" w:type="dxa"/>
            </w:tcMar>
            <w:vAlign w:val="center"/>
            <w:hideMark/>
          </w:tcPr>
          <w:p w14:paraId="4F51BF3F"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 xml:space="preserve">имя, фамилия, отчество, </w:t>
            </w:r>
            <w:proofErr w:type="spellStart"/>
            <w:r w:rsidRPr="00EA5F2D">
              <w:rPr>
                <w:rFonts w:ascii="Times New Roman" w:hAnsi="Times New Roman" w:cs="Times New Roman"/>
                <w:sz w:val="24"/>
                <w:szCs w:val="24"/>
              </w:rPr>
              <w:t>e-mail</w:t>
            </w:r>
            <w:proofErr w:type="spellEnd"/>
            <w:r w:rsidRPr="00EA5F2D">
              <w:rPr>
                <w:rFonts w:ascii="Times New Roman" w:hAnsi="Times New Roman" w:cs="Times New Roman"/>
                <w:sz w:val="24"/>
                <w:szCs w:val="24"/>
              </w:rPr>
              <w:t>, номер телефона, должность, место работы, фотография, данные банковских карт, IP (местонахождение), пол, адрес, возраст</w:t>
            </w:r>
          </w:p>
        </w:tc>
        <w:tc>
          <w:tcPr>
            <w:tcW w:w="0" w:type="auto"/>
            <w:tcBorders>
              <w:bottom w:val="single" w:sz="6" w:space="0" w:color="FAFBFC"/>
            </w:tcBorders>
            <w:tcMar>
              <w:top w:w="240" w:type="dxa"/>
              <w:left w:w="240" w:type="dxa"/>
              <w:bottom w:w="240" w:type="dxa"/>
              <w:right w:w="240" w:type="dxa"/>
            </w:tcMar>
            <w:vAlign w:val="center"/>
            <w:hideMark/>
          </w:tcPr>
          <w:p w14:paraId="0E22B094"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участие в проектах Фонда</w:t>
            </w:r>
          </w:p>
        </w:tc>
      </w:tr>
      <w:tr w:rsidR="00EA5F2D" w:rsidRPr="00EA5F2D" w14:paraId="1EA9F193" w14:textId="77777777" w:rsidTr="00EA5F2D">
        <w:tc>
          <w:tcPr>
            <w:tcW w:w="0" w:type="auto"/>
            <w:tcBorders>
              <w:bottom w:val="single" w:sz="6" w:space="0" w:color="FAFBFC"/>
            </w:tcBorders>
            <w:tcMar>
              <w:top w:w="240" w:type="dxa"/>
              <w:left w:w="240" w:type="dxa"/>
              <w:bottom w:w="240" w:type="dxa"/>
              <w:right w:w="240" w:type="dxa"/>
            </w:tcMar>
            <w:vAlign w:val="center"/>
            <w:hideMark/>
          </w:tcPr>
          <w:p w14:paraId="278AFDC3"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 xml:space="preserve">паспортные данные, </w:t>
            </w:r>
            <w:proofErr w:type="spellStart"/>
            <w:r w:rsidRPr="00EA5F2D">
              <w:rPr>
                <w:rFonts w:ascii="Times New Roman" w:hAnsi="Times New Roman" w:cs="Times New Roman"/>
                <w:sz w:val="24"/>
                <w:szCs w:val="24"/>
              </w:rPr>
              <w:t>e-mail</w:t>
            </w:r>
            <w:proofErr w:type="spellEnd"/>
            <w:r w:rsidRPr="00EA5F2D">
              <w:rPr>
                <w:rFonts w:ascii="Times New Roman" w:hAnsi="Times New Roman" w:cs="Times New Roman"/>
                <w:sz w:val="24"/>
                <w:szCs w:val="24"/>
              </w:rPr>
              <w:t>, телефон</w:t>
            </w:r>
          </w:p>
        </w:tc>
        <w:tc>
          <w:tcPr>
            <w:tcW w:w="0" w:type="auto"/>
            <w:tcBorders>
              <w:bottom w:val="single" w:sz="6" w:space="0" w:color="FAFBFC"/>
            </w:tcBorders>
            <w:tcMar>
              <w:top w:w="240" w:type="dxa"/>
              <w:left w:w="240" w:type="dxa"/>
              <w:bottom w:w="240" w:type="dxa"/>
              <w:right w:w="240" w:type="dxa"/>
            </w:tcMar>
            <w:vAlign w:val="center"/>
            <w:hideMark/>
          </w:tcPr>
          <w:p w14:paraId="1A35D7F1" w14:textId="77777777" w:rsidR="00EA5F2D" w:rsidRPr="00EA5F2D" w:rsidRDefault="00EA5F2D" w:rsidP="00EA5F2D">
            <w:pPr>
              <w:widowControl w:val="0"/>
              <w:spacing w:after="0" w:line="240" w:lineRule="auto"/>
              <w:ind w:right="2548"/>
              <w:jc w:val="both"/>
              <w:rPr>
                <w:rFonts w:ascii="Times New Roman" w:hAnsi="Times New Roman" w:cs="Times New Roman"/>
                <w:sz w:val="24"/>
                <w:szCs w:val="24"/>
              </w:rPr>
            </w:pPr>
            <w:r w:rsidRPr="00EA5F2D">
              <w:rPr>
                <w:rFonts w:ascii="Times New Roman" w:hAnsi="Times New Roman" w:cs="Times New Roman"/>
                <w:sz w:val="24"/>
                <w:szCs w:val="24"/>
              </w:rPr>
              <w:t>информирование учреждений (детских домов) о волонтёрах</w:t>
            </w:r>
          </w:p>
        </w:tc>
      </w:tr>
    </w:tbl>
    <w:p w14:paraId="56EEA68A" w14:textId="360641CB" w:rsidR="00EA5F2D" w:rsidRPr="00EA5F2D" w:rsidRDefault="00EA5F2D" w:rsidP="00EA5F2D">
      <w:pPr>
        <w:pStyle w:val="a3"/>
        <w:numPr>
          <w:ilvl w:val="0"/>
          <w:numId w:val="2"/>
        </w:numPr>
        <w:spacing w:after="0" w:line="240" w:lineRule="auto"/>
        <w:jc w:val="both"/>
        <w:rPr>
          <w:rFonts w:ascii="Times New Roman" w:hAnsi="Times New Roman" w:cs="Times New Roman"/>
          <w:b/>
          <w:bCs/>
          <w:sz w:val="24"/>
          <w:szCs w:val="24"/>
        </w:rPr>
      </w:pPr>
      <w:r w:rsidRPr="00EA5F2D">
        <w:rPr>
          <w:rFonts w:ascii="Times New Roman" w:hAnsi="Times New Roman" w:cs="Times New Roman"/>
          <w:b/>
          <w:bCs/>
          <w:sz w:val="24"/>
          <w:szCs w:val="24"/>
        </w:rPr>
        <w:t>Конфиденциальность персональных данных</w:t>
      </w:r>
    </w:p>
    <w:p w14:paraId="18193861"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Для обеспечения конфиденциальности Персональных данных Фонд принимает и будет принимать технические, юридические и организационные меры безопасности, в частности: -назначение должностных лиц, ответственных за организацию обработки и защиты персональных данных;</w:t>
      </w:r>
    </w:p>
    <w:p w14:paraId="1A94A6ED"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принятие локальных нормативных актов в отношении обработки персональных данных;</w:t>
      </w:r>
    </w:p>
    <w:p w14:paraId="53D482BA"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предоставление неограниченного доступа к настоящей Политике;</w:t>
      </w:r>
    </w:p>
    <w:p w14:paraId="1AA7EEFE"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заключение договоров с лицами, обрабатывающими персональные данные по поручению Фонда, в соответствии с требованиями Федерального закона «О персональных данных»;</w:t>
      </w:r>
    </w:p>
    <w:p w14:paraId="37883C73"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ограничение состава лиц, имеющих доступ к персональным данным;</w:t>
      </w:r>
    </w:p>
    <w:p w14:paraId="0083C7C5"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ознакомление субъектов с требованиями федерального законодательства и локальных нормативных актов Фонда по обработке и защите персональных данных;</w:t>
      </w:r>
    </w:p>
    <w:p w14:paraId="5A9388B0"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организация учета, хранения и обращения носителей информации;</w:t>
      </w:r>
    </w:p>
    <w:p w14:paraId="68EFA3A6"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определение угроз безопасности персональных данных при их обработке, формирование на их основе моделей угроз;</w:t>
      </w:r>
    </w:p>
    <w:p w14:paraId="4C660932"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разработка на основе модели угроз системы защиты персональных данных;</w:t>
      </w:r>
    </w:p>
    <w:p w14:paraId="017BA09B"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проверка готовности и эффективности использования средств защиты информации;</w:t>
      </w:r>
    </w:p>
    <w:p w14:paraId="7ECCFAD3"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разграничение доступа пользователей к информационным ресурсам и программно-аппаратным средствам обработки информации;</w:t>
      </w:r>
    </w:p>
    <w:p w14:paraId="18BF6A6A"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lastRenderedPageBreak/>
        <w:t>регистрация и учет действий пользователей информационных систем персональных данных;</w:t>
      </w:r>
    </w:p>
    <w:p w14:paraId="026229F8"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использование антивирусных средств и средств восстановления системы защиты персональных данных.</w:t>
      </w:r>
    </w:p>
    <w:p w14:paraId="0AF0D12F" w14:textId="77777777"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Фонд принимает другие необходимые юридические, организационные и технические меры по защите персональных данных от незаконного или случайного доступа, уничтожения, изменения, блокирования, копирования, передачи, распространения, а также других незаконных действий в отношении персональных данных, в частности, меры, предусмотренные Федеральным законом от 27.07.2006 г. №152-ФЗ «О персональных данных», Постановлением Правительства от 01.11.2012 г. №1119 «Об утверждении требований к защите персональных данных при их обработке в информационных системах персональных данных» и другими нормативными правовыми актами.</w:t>
      </w:r>
    </w:p>
    <w:p w14:paraId="6D216AAC" w14:textId="5395B37E" w:rsidR="00EA5F2D" w:rsidRPr="00EA5F2D" w:rsidRDefault="00EA5F2D" w:rsidP="00EA5F2D">
      <w:pPr>
        <w:pStyle w:val="a3"/>
        <w:spacing w:after="0" w:line="240" w:lineRule="auto"/>
        <w:ind w:left="0" w:firstLine="709"/>
        <w:contextualSpacing w:val="0"/>
        <w:jc w:val="both"/>
        <w:rPr>
          <w:rFonts w:ascii="Times New Roman" w:hAnsi="Times New Roman" w:cs="Times New Roman"/>
          <w:sz w:val="24"/>
          <w:szCs w:val="24"/>
        </w:rPr>
      </w:pPr>
      <w:r w:rsidRPr="00EA5F2D">
        <w:rPr>
          <w:rFonts w:ascii="Times New Roman" w:hAnsi="Times New Roman" w:cs="Times New Roman"/>
          <w:sz w:val="24"/>
          <w:szCs w:val="24"/>
        </w:rPr>
        <w:t>Фонд вправе с согласия субъекта поручить обработку персональных данных другому лицу, если иное не предусмотрено законодательством, на основании заключаемого с этим лицом договора, предусматривающего в качестве существенного условия обязанность лица, осуществляющего обработку персональных данных по поручению Фонда, соблюдать принципы и правила обработки персональных данных, предусмотренные законодательством. Объем передаваемых другому лицу для обработки персональных данных и количество используемых этим лицом способов обработки должны быть минимально необходимыми для выполнения им своих обязанностей перед Фондом.</w:t>
      </w:r>
    </w:p>
    <w:sectPr w:rsidR="00EA5F2D" w:rsidRPr="00EA5F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86E"/>
    <w:multiLevelType w:val="hybridMultilevel"/>
    <w:tmpl w:val="B9BC03CC"/>
    <w:lvl w:ilvl="0" w:tplc="63E0FAA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1507DB"/>
    <w:multiLevelType w:val="multilevel"/>
    <w:tmpl w:val="1B32AD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461E41"/>
    <w:multiLevelType w:val="multilevel"/>
    <w:tmpl w:val="BD32AE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212151">
    <w:abstractNumId w:val="0"/>
  </w:num>
  <w:num w:numId="2" w16cid:durableId="288752702">
    <w:abstractNumId w:val="2"/>
  </w:num>
  <w:num w:numId="3" w16cid:durableId="39941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2D"/>
    <w:rsid w:val="0000064F"/>
    <w:rsid w:val="001436CB"/>
    <w:rsid w:val="001B152E"/>
    <w:rsid w:val="001B7530"/>
    <w:rsid w:val="00276098"/>
    <w:rsid w:val="00307382"/>
    <w:rsid w:val="003C4E6E"/>
    <w:rsid w:val="00450C02"/>
    <w:rsid w:val="005018E2"/>
    <w:rsid w:val="0057267A"/>
    <w:rsid w:val="0075086D"/>
    <w:rsid w:val="00775044"/>
    <w:rsid w:val="00802DC7"/>
    <w:rsid w:val="0081006B"/>
    <w:rsid w:val="008F43F0"/>
    <w:rsid w:val="009436F9"/>
    <w:rsid w:val="00965ED0"/>
    <w:rsid w:val="00976ECC"/>
    <w:rsid w:val="00A12922"/>
    <w:rsid w:val="00A4036C"/>
    <w:rsid w:val="00A51978"/>
    <w:rsid w:val="00B34F76"/>
    <w:rsid w:val="00B40F44"/>
    <w:rsid w:val="00BC051B"/>
    <w:rsid w:val="00C52AFC"/>
    <w:rsid w:val="00CB5909"/>
    <w:rsid w:val="00CD6215"/>
    <w:rsid w:val="00D905BF"/>
    <w:rsid w:val="00EA5F2D"/>
    <w:rsid w:val="00EF7E7F"/>
    <w:rsid w:val="00F107E5"/>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7FD18"/>
  <w15:chartTrackingRefBased/>
  <w15:docId w15:val="{0200036C-A2F6-402A-AB24-6F3C75FA6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F2D"/>
    <w:pPr>
      <w:ind w:left="720"/>
      <w:contextualSpacing/>
    </w:pPr>
  </w:style>
  <w:style w:type="character" w:styleId="a4">
    <w:name w:val="Hyperlink"/>
    <w:basedOn w:val="a0"/>
    <w:uiPriority w:val="99"/>
    <w:unhideWhenUsed/>
    <w:rsid w:val="00EA5F2D"/>
    <w:rPr>
      <w:color w:val="0563C1" w:themeColor="hyperlink"/>
      <w:u w:val="single"/>
    </w:rPr>
  </w:style>
  <w:style w:type="character" w:styleId="a5">
    <w:name w:val="Unresolved Mention"/>
    <w:basedOn w:val="a0"/>
    <w:uiPriority w:val="99"/>
    <w:semiHidden/>
    <w:unhideWhenUsed/>
    <w:rsid w:val="00EA5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3590">
      <w:bodyDiv w:val="1"/>
      <w:marLeft w:val="0"/>
      <w:marRight w:val="0"/>
      <w:marTop w:val="0"/>
      <w:marBottom w:val="0"/>
      <w:divBdr>
        <w:top w:val="none" w:sz="0" w:space="0" w:color="auto"/>
        <w:left w:val="none" w:sz="0" w:space="0" w:color="auto"/>
        <w:bottom w:val="none" w:sz="0" w:space="0" w:color="auto"/>
        <w:right w:val="none" w:sz="0" w:space="0" w:color="auto"/>
      </w:divBdr>
    </w:div>
    <w:div w:id="342778267">
      <w:bodyDiv w:val="1"/>
      <w:marLeft w:val="0"/>
      <w:marRight w:val="0"/>
      <w:marTop w:val="0"/>
      <w:marBottom w:val="0"/>
      <w:divBdr>
        <w:top w:val="none" w:sz="0" w:space="0" w:color="auto"/>
        <w:left w:val="none" w:sz="0" w:space="0" w:color="auto"/>
        <w:bottom w:val="none" w:sz="0" w:space="0" w:color="auto"/>
        <w:right w:val="none" w:sz="0" w:space="0" w:color="auto"/>
      </w:divBdr>
    </w:div>
    <w:div w:id="891309848">
      <w:bodyDiv w:val="1"/>
      <w:marLeft w:val="0"/>
      <w:marRight w:val="0"/>
      <w:marTop w:val="0"/>
      <w:marBottom w:val="0"/>
      <w:divBdr>
        <w:top w:val="none" w:sz="0" w:space="0" w:color="auto"/>
        <w:left w:val="none" w:sz="0" w:space="0" w:color="auto"/>
        <w:bottom w:val="none" w:sz="0" w:space="0" w:color="auto"/>
        <w:right w:val="none" w:sz="0" w:space="0" w:color="auto"/>
      </w:divBdr>
      <w:divsChild>
        <w:div w:id="303972368">
          <w:marLeft w:val="0"/>
          <w:marRight w:val="0"/>
          <w:marTop w:val="0"/>
          <w:marBottom w:val="0"/>
          <w:divBdr>
            <w:top w:val="none" w:sz="0" w:space="0" w:color="auto"/>
            <w:left w:val="none" w:sz="0" w:space="0" w:color="auto"/>
            <w:bottom w:val="none" w:sz="0" w:space="0" w:color="auto"/>
            <w:right w:val="none" w:sz="0" w:space="0" w:color="auto"/>
          </w:divBdr>
        </w:div>
      </w:divsChild>
    </w:div>
    <w:div w:id="191230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id=12048555&amp;sub=0" TargetMode="External"/><Relationship Id="rId3" Type="http://schemas.openxmlformats.org/officeDocument/2006/relationships/settings" Target="settings.xml"/><Relationship Id="rId7" Type="http://schemas.openxmlformats.org/officeDocument/2006/relationships/hyperlink" Target="http://demo.garant.ru/document?id=12048567&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mo.garant.ru/document?id=12025268&amp;sub=0" TargetMode="External"/><Relationship Id="rId5" Type="http://schemas.openxmlformats.org/officeDocument/2006/relationships/hyperlink" Target="http://demo.garant.ru/document?id=10003000&amp;sub=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2020</Words>
  <Characters>11518</Characters>
  <Application>Microsoft Office Word</Application>
  <DocSecurity>0</DocSecurity>
  <Lines>95</Lines>
  <Paragraphs>27</Paragraphs>
  <ScaleCrop>false</ScaleCrop>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3</cp:revision>
  <dcterms:created xsi:type="dcterms:W3CDTF">2023-05-24T14:49:00Z</dcterms:created>
  <dcterms:modified xsi:type="dcterms:W3CDTF">2023-05-24T18:57:00Z</dcterms:modified>
</cp:coreProperties>
</file>